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32AB" w14:textId="77777777" w:rsidR="00436045" w:rsidRPr="00436045" w:rsidRDefault="00436045" w:rsidP="00591820"/>
    <w:p w14:paraId="0035966F" w14:textId="77777777" w:rsidR="00436045" w:rsidRDefault="00436045" w:rsidP="007879A9">
      <w:pPr>
        <w:jc w:val="center"/>
        <w:rPr>
          <w:sz w:val="24"/>
        </w:rPr>
      </w:pPr>
      <w:r>
        <w:rPr>
          <w:noProof/>
          <w:lang w:eastAsia="en-GB"/>
        </w:rPr>
        <w:drawing>
          <wp:inline distT="0" distB="0" distL="0" distR="0" wp14:anchorId="594150C8" wp14:editId="39C4EB0A">
            <wp:extent cx="1476375" cy="885825"/>
            <wp:effectExtent l="19050" t="0" r="9525" b="0"/>
            <wp:docPr id="2" name="Picture 1" descr="NCOB 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B logo (high res)"/>
                    <pic:cNvPicPr>
                      <a:picLocks noChangeAspect="1" noChangeArrowheads="1"/>
                    </pic:cNvPicPr>
                  </pic:nvPicPr>
                  <pic:blipFill>
                    <a:blip r:embed="rId11" cstate="print"/>
                    <a:srcRect/>
                    <a:stretch>
                      <a:fillRect/>
                    </a:stretch>
                  </pic:blipFill>
                  <pic:spPr bwMode="auto">
                    <a:xfrm>
                      <a:off x="0" y="0"/>
                      <a:ext cx="1476375" cy="885825"/>
                    </a:xfrm>
                    <a:prstGeom prst="rect">
                      <a:avLst/>
                    </a:prstGeom>
                    <a:noFill/>
                    <a:ln w="9525">
                      <a:noFill/>
                      <a:miter lim="800000"/>
                      <a:headEnd/>
                      <a:tailEnd/>
                    </a:ln>
                  </pic:spPr>
                </pic:pic>
              </a:graphicData>
            </a:graphic>
          </wp:inline>
        </w:drawing>
      </w:r>
    </w:p>
    <w:p w14:paraId="3CCAA083" w14:textId="3C23ECFD" w:rsidR="00436045" w:rsidRDefault="008156E4" w:rsidP="007879A9">
      <w:pPr>
        <w:pStyle w:val="Heading1"/>
        <w:jc w:val="center"/>
      </w:pPr>
      <w:r w:rsidRPr="00292F8B">
        <w:t xml:space="preserve">GMC </w:t>
      </w:r>
      <w:r w:rsidR="00436045">
        <w:t xml:space="preserve">review of </w:t>
      </w:r>
      <w:r w:rsidR="00436045" w:rsidRPr="007879A9">
        <w:rPr>
          <w:i/>
          <w:iCs/>
        </w:rPr>
        <w:t>G</w:t>
      </w:r>
      <w:r w:rsidRPr="007879A9">
        <w:rPr>
          <w:i/>
          <w:iCs/>
        </w:rPr>
        <w:t xml:space="preserve">ood </w:t>
      </w:r>
      <w:r w:rsidR="00436045" w:rsidRPr="007879A9">
        <w:rPr>
          <w:i/>
          <w:iCs/>
        </w:rPr>
        <w:t>M</w:t>
      </w:r>
      <w:r w:rsidRPr="007879A9">
        <w:rPr>
          <w:i/>
          <w:iCs/>
        </w:rPr>
        <w:t xml:space="preserve">edical </w:t>
      </w:r>
      <w:r w:rsidR="00436045" w:rsidRPr="007879A9">
        <w:rPr>
          <w:i/>
          <w:iCs/>
        </w:rPr>
        <w:t>P</w:t>
      </w:r>
      <w:r w:rsidRPr="007879A9">
        <w:rPr>
          <w:i/>
          <w:iCs/>
        </w:rPr>
        <w:t>ractice</w:t>
      </w:r>
    </w:p>
    <w:p w14:paraId="56EF89F3" w14:textId="3EB5CF4C" w:rsidR="00E75E72" w:rsidRDefault="00DC1439" w:rsidP="007879A9">
      <w:pPr>
        <w:pStyle w:val="Heading1"/>
        <w:jc w:val="center"/>
      </w:pPr>
      <w:r w:rsidRPr="00292F8B">
        <w:t>Consultation response</w:t>
      </w:r>
      <w:r w:rsidR="00436045">
        <w:t xml:space="preserve"> on behalf of the Nuffield Council on Bioethics</w:t>
      </w:r>
    </w:p>
    <w:p w14:paraId="7E2D45DB" w14:textId="77777777" w:rsidR="007879A9" w:rsidRDefault="007879A9" w:rsidP="00591820"/>
    <w:p w14:paraId="3E4DC497" w14:textId="79F319AF" w:rsidR="00436045" w:rsidRDefault="00436045" w:rsidP="00591820">
      <w:r>
        <w:t xml:space="preserve">By email: </w:t>
      </w:r>
      <w:hyperlink r:id="rId12" w:history="1">
        <w:r w:rsidRPr="00644746">
          <w:rPr>
            <w:rStyle w:val="Hyperlink"/>
            <w:sz w:val="24"/>
            <w:szCs w:val="24"/>
          </w:rPr>
          <w:t>professionalstandards@gmc-uk.org</w:t>
        </w:r>
      </w:hyperlink>
      <w:r>
        <w:t xml:space="preserve"> </w:t>
      </w:r>
    </w:p>
    <w:p w14:paraId="379BF082" w14:textId="0C470C12" w:rsidR="00436045" w:rsidRDefault="00436045" w:rsidP="00591820"/>
    <w:p w14:paraId="1CA6C41E" w14:textId="603DB3EA" w:rsidR="00436045" w:rsidRPr="0081418B" w:rsidRDefault="00436045" w:rsidP="00C4360E">
      <w:pPr>
        <w:pStyle w:val="ListParagraph"/>
      </w:pPr>
      <w:r w:rsidRPr="0081418B">
        <w:t>The Nuffield Council on Bioethics is a leading independent policy and research centre, and the UK’s foremost bioethics body. We identify, analyse, and advise on ethical issues in biological science and health so that decisions in these areas benefit people and society. For over thirty years we have tackled some of the most complex and controversial bioethical issues facing society.</w:t>
      </w:r>
    </w:p>
    <w:p w14:paraId="255B7A3C" w14:textId="6C29D53A" w:rsidR="00436045" w:rsidRDefault="00436045" w:rsidP="00C4360E">
      <w:pPr>
        <w:pStyle w:val="ListParagraph"/>
      </w:pPr>
      <w:r w:rsidRPr="00436045">
        <w:t>Our response addresses</w:t>
      </w:r>
      <w:r>
        <w:t xml:space="preserve"> selected questions that draw on our knowledge and </w:t>
      </w:r>
      <w:r w:rsidRPr="00054A9F">
        <w:t xml:space="preserve">expertise in bioethics, and particularly on the work the Council has carried out in relation to previous inquiries, especially </w:t>
      </w:r>
      <w:r w:rsidRPr="00571087">
        <w:rPr>
          <w:i/>
          <w:iCs/>
        </w:rPr>
        <w:t>Children and clinical research</w:t>
      </w:r>
      <w:r w:rsidRPr="00054A9F">
        <w:t xml:space="preserve"> (201</w:t>
      </w:r>
      <w:r w:rsidR="00054A9F" w:rsidRPr="00054A9F">
        <w:t>5</w:t>
      </w:r>
      <w:r w:rsidRPr="00054A9F">
        <w:t xml:space="preserve">), </w:t>
      </w:r>
      <w:r w:rsidR="009E4B03" w:rsidRPr="00571087">
        <w:rPr>
          <w:i/>
          <w:iCs/>
        </w:rPr>
        <w:t xml:space="preserve">Research in global health emergencies </w:t>
      </w:r>
      <w:r w:rsidR="009E4B03" w:rsidRPr="00054A9F">
        <w:t>(2020)</w:t>
      </w:r>
      <w:r w:rsidR="00571087">
        <w:t>,</w:t>
      </w:r>
      <w:r w:rsidR="009E4B03" w:rsidRPr="00054A9F">
        <w:t xml:space="preserve"> </w:t>
      </w:r>
      <w:r w:rsidRPr="00054A9F">
        <w:t>in its</w:t>
      </w:r>
      <w:r>
        <w:t xml:space="preserve"> </w:t>
      </w:r>
      <w:r w:rsidR="00FF33AA">
        <w:t xml:space="preserve">various </w:t>
      </w:r>
      <w:r>
        <w:t>response</w:t>
      </w:r>
      <w:r w:rsidR="00FF33AA">
        <w:t>s</w:t>
      </w:r>
      <w:r>
        <w:t xml:space="preserve"> to the COVID-19 pandemic, and in the preparation of recent briefing notes on </w:t>
      </w:r>
      <w:r w:rsidR="00571087" w:rsidRPr="00571087">
        <w:rPr>
          <w:i/>
          <w:iCs/>
        </w:rPr>
        <w:t xml:space="preserve">Artificial </w:t>
      </w:r>
      <w:r w:rsidR="00571087" w:rsidRPr="00571087">
        <w:rPr>
          <w:i/>
          <w:iCs/>
        </w:rPr>
        <w:t>i</w:t>
      </w:r>
      <w:r w:rsidR="00571087" w:rsidRPr="00571087">
        <w:rPr>
          <w:i/>
          <w:iCs/>
        </w:rPr>
        <w:t>ntelligence in healthcare and research</w:t>
      </w:r>
      <w:r w:rsidR="00571087" w:rsidRPr="00571087">
        <w:rPr>
          <w:i/>
          <w:iCs/>
        </w:rPr>
        <w:t xml:space="preserve"> </w:t>
      </w:r>
      <w:r w:rsidR="00571087">
        <w:t xml:space="preserve">and </w:t>
      </w:r>
      <w:proofErr w:type="gramStart"/>
      <w:r w:rsidR="00571087" w:rsidRPr="00571087">
        <w:rPr>
          <w:i/>
          <w:iCs/>
        </w:rPr>
        <w:t>T</w:t>
      </w:r>
      <w:r w:rsidR="00571087" w:rsidRPr="00571087">
        <w:rPr>
          <w:i/>
          <w:iCs/>
        </w:rPr>
        <w:t>he</w:t>
      </w:r>
      <w:proofErr w:type="gramEnd"/>
      <w:r w:rsidR="00571087" w:rsidRPr="00571087">
        <w:rPr>
          <w:i/>
          <w:iCs/>
        </w:rPr>
        <w:t xml:space="preserve"> role of technology in mental healthc</w:t>
      </w:r>
      <w:r w:rsidR="00571087" w:rsidRPr="00571087">
        <w:rPr>
          <w:i/>
          <w:iCs/>
        </w:rPr>
        <w:t>are</w:t>
      </w:r>
      <w:r w:rsidR="00571087">
        <w:t xml:space="preserve">.  </w:t>
      </w:r>
      <w:r>
        <w:t xml:space="preserve">These publications are available on the Council’s website, via </w:t>
      </w:r>
      <w:hyperlink r:id="rId13" w:history="1">
        <w:r w:rsidRPr="00644746">
          <w:rPr>
            <w:rStyle w:val="Hyperlink"/>
          </w:rPr>
          <w:t>www.nuffieldbio</w:t>
        </w:r>
        <w:r w:rsidRPr="00644746">
          <w:rPr>
            <w:rStyle w:val="Hyperlink"/>
          </w:rPr>
          <w:t>e</w:t>
        </w:r>
        <w:r w:rsidRPr="00644746">
          <w:rPr>
            <w:rStyle w:val="Hyperlink"/>
          </w:rPr>
          <w:t>thics.org</w:t>
        </w:r>
      </w:hyperlink>
    </w:p>
    <w:p w14:paraId="66E1A835" w14:textId="7B23DBDC" w:rsidR="00591820" w:rsidRPr="001E562A" w:rsidRDefault="00591820" w:rsidP="00591820">
      <w:pPr>
        <w:pStyle w:val="Heading1"/>
      </w:pPr>
      <w:r w:rsidRPr="001E562A">
        <w:t>Q.7 Comments on reinstatement of introductory paragraphs</w:t>
      </w:r>
    </w:p>
    <w:p w14:paraId="475C5A43" w14:textId="681C5731" w:rsidR="00591820" w:rsidRPr="0081418B" w:rsidRDefault="00591820" w:rsidP="00C4360E">
      <w:pPr>
        <w:pStyle w:val="ListParagraph"/>
      </w:pPr>
      <w:r w:rsidRPr="0081418B">
        <w:t>The introductory paragraphs generally offer a helpful statement of the key principles.  However</w:t>
      </w:r>
      <w:r w:rsidR="009050B9" w:rsidRPr="0081418B">
        <w:t>,</w:t>
      </w:r>
      <w:r w:rsidRPr="0081418B">
        <w:t xml:space="preserve"> the relationship between the </w:t>
      </w:r>
      <w:r w:rsidRPr="0081418B">
        <w:t xml:space="preserve">numbered paragraphs and their sub-paragraphs (a, b, c etc.) </w:t>
      </w:r>
      <w:r w:rsidRPr="0081418B">
        <w:t xml:space="preserve">is not clear; for example, do the latter generally </w:t>
      </w:r>
      <w:r w:rsidR="001E562A">
        <w:t xml:space="preserve">elaborate the general principle or </w:t>
      </w:r>
      <w:r w:rsidRPr="0081418B">
        <w:t xml:space="preserve">propose actions that are </w:t>
      </w:r>
      <w:r w:rsidR="001E562A">
        <w:t xml:space="preserve">expected </w:t>
      </w:r>
      <w:r w:rsidRPr="0081418B">
        <w:t xml:space="preserve">to </w:t>
      </w:r>
      <w:r w:rsidRPr="0081418B">
        <w:t>secure the general principle expressed in the numbered paragraphs</w:t>
      </w:r>
      <w:r w:rsidRPr="0081418B">
        <w:t xml:space="preserve">?  </w:t>
      </w:r>
    </w:p>
    <w:p w14:paraId="7467AA52" w14:textId="48D9CEDC" w:rsidR="00214FEA" w:rsidRDefault="000D31AF" w:rsidP="00591820">
      <w:pPr>
        <w:pStyle w:val="Heading1"/>
      </w:pPr>
      <w:r>
        <w:t xml:space="preserve">Q.8 </w:t>
      </w:r>
      <w:r w:rsidR="00784AD4">
        <w:t xml:space="preserve">How far do you agree that the updated guidance </w:t>
      </w:r>
      <w:r w:rsidR="00214FEA">
        <w:t>sets the right expectations around discrimination, fairness, and inclusion?</w:t>
      </w:r>
    </w:p>
    <w:p w14:paraId="420673C4" w14:textId="3DF51018" w:rsidR="00751F09" w:rsidRPr="0081418B" w:rsidRDefault="0081418B" w:rsidP="00C4360E">
      <w:pPr>
        <w:pStyle w:val="ListParagraph"/>
      </w:pPr>
      <w:r>
        <w:t>We s</w:t>
      </w:r>
      <w:r w:rsidR="00751F09" w:rsidRPr="0081418B">
        <w:t>trongly agree.</w:t>
      </w:r>
    </w:p>
    <w:p w14:paraId="255C606F" w14:textId="5DE4B68B" w:rsidR="00E27D6C" w:rsidRPr="00BF38F2" w:rsidRDefault="00751F09" w:rsidP="0081418B">
      <w:pPr>
        <w:pStyle w:val="Heading1"/>
      </w:pPr>
      <w:r w:rsidRPr="00BF38F2">
        <w:t xml:space="preserve">Q.9 </w:t>
      </w:r>
      <w:r w:rsidR="00E27D6C" w:rsidRPr="00BF38F2">
        <w:t>The amended duties are clear.</w:t>
      </w:r>
    </w:p>
    <w:p w14:paraId="2A3BD6C0" w14:textId="70036EC3" w:rsidR="00BF38F2" w:rsidRDefault="0081418B" w:rsidP="00C4360E">
      <w:pPr>
        <w:pStyle w:val="ListParagraph"/>
      </w:pPr>
      <w:r>
        <w:t>We a</w:t>
      </w:r>
      <w:r w:rsidR="00BF38F2">
        <w:t xml:space="preserve">gree. </w:t>
      </w:r>
    </w:p>
    <w:p w14:paraId="271AE9F1" w14:textId="31C293F0" w:rsidR="006E7FE5" w:rsidRDefault="006E7FE5" w:rsidP="0081418B">
      <w:pPr>
        <w:pStyle w:val="Heading1"/>
      </w:pPr>
      <w:r>
        <w:t>Q.11 Comments on theme one: tackling discrimination and promoting fairness and inclusion</w:t>
      </w:r>
    </w:p>
    <w:p w14:paraId="4C575AAE" w14:textId="2E98FDEC" w:rsidR="003456BE" w:rsidRPr="00C4360E" w:rsidRDefault="00EE42B3" w:rsidP="00C4360E">
      <w:pPr>
        <w:pStyle w:val="ListParagraph"/>
      </w:pPr>
      <w:r w:rsidRPr="00C4360E">
        <w:t>We welcome the</w:t>
      </w:r>
      <w:r w:rsidR="00A06F94" w:rsidRPr="00C4360E">
        <w:t>se</w:t>
      </w:r>
      <w:r w:rsidRPr="00C4360E">
        <w:t xml:space="preserve"> </w:t>
      </w:r>
      <w:r w:rsidR="002C3FE5" w:rsidRPr="00C4360E">
        <w:t xml:space="preserve">proposed changes to </w:t>
      </w:r>
      <w:r w:rsidR="0081418B" w:rsidRPr="00C4360E">
        <w:t xml:space="preserve">Good Medical Practice, </w:t>
      </w:r>
      <w:r w:rsidR="00A06F94" w:rsidRPr="00C4360E">
        <w:t xml:space="preserve">which </w:t>
      </w:r>
      <w:r w:rsidR="00C114C0" w:rsidRPr="00C4360E">
        <w:t xml:space="preserve">aim to tackle inequalities and discrimination in healthcare. </w:t>
      </w:r>
    </w:p>
    <w:p w14:paraId="143F073A" w14:textId="0D8A2FE8" w:rsidR="00E5170A" w:rsidRDefault="005E567F" w:rsidP="00C4360E">
      <w:pPr>
        <w:pStyle w:val="ListParagraph"/>
      </w:pPr>
      <w:r>
        <w:t xml:space="preserve">Our </w:t>
      </w:r>
      <w:r w:rsidRPr="005742E7">
        <w:t xml:space="preserve">work </w:t>
      </w:r>
      <w:bookmarkStart w:id="0" w:name="_Hlk109150847"/>
      <w:r w:rsidR="004526D2" w:rsidRPr="005742E7">
        <w:t xml:space="preserve">on the ethics of </w:t>
      </w:r>
      <w:hyperlink r:id="rId14" w:history="1">
        <w:r w:rsidR="004526D2" w:rsidRPr="005742E7">
          <w:rPr>
            <w:rStyle w:val="Hyperlink"/>
          </w:rPr>
          <w:t xml:space="preserve">responding to </w:t>
        </w:r>
        <w:r w:rsidR="00A24D2A" w:rsidRPr="005742E7">
          <w:rPr>
            <w:rStyle w:val="Hyperlink"/>
          </w:rPr>
          <w:t>the C</w:t>
        </w:r>
        <w:r w:rsidR="0081418B">
          <w:rPr>
            <w:rStyle w:val="Hyperlink"/>
          </w:rPr>
          <w:t>OVID</w:t>
        </w:r>
        <w:r w:rsidR="00A24D2A" w:rsidRPr="005742E7">
          <w:rPr>
            <w:rStyle w:val="Hyperlink"/>
          </w:rPr>
          <w:t>-19 pandemic</w:t>
        </w:r>
      </w:hyperlink>
      <w:bookmarkEnd w:id="0"/>
      <w:r w:rsidR="005742E7">
        <w:t xml:space="preserve"> </w:t>
      </w:r>
      <w:r w:rsidR="00A24D2A">
        <w:t>highligh</w:t>
      </w:r>
      <w:r w:rsidR="00FD720E">
        <w:t>ts</w:t>
      </w:r>
      <w:r w:rsidR="00B005E0">
        <w:t xml:space="preserve"> </w:t>
      </w:r>
      <w:r w:rsidR="00C803E2">
        <w:t>the importance of reducing longstanding inequalities in healthcare</w:t>
      </w:r>
      <w:r w:rsidR="00483AB6">
        <w:t xml:space="preserve">. </w:t>
      </w:r>
      <w:r w:rsidR="00492762">
        <w:t>The C</w:t>
      </w:r>
      <w:r w:rsidR="0081418B">
        <w:t>OVID</w:t>
      </w:r>
      <w:r w:rsidR="00492762">
        <w:t xml:space="preserve">-19 pandemic </w:t>
      </w:r>
      <w:r w:rsidR="007C7A12">
        <w:t xml:space="preserve">has not affected all group </w:t>
      </w:r>
      <w:r w:rsidR="0081418B">
        <w:t xml:space="preserve">of patients </w:t>
      </w:r>
      <w:r w:rsidR="00B939FB">
        <w:t>equally</w:t>
      </w:r>
      <w:r w:rsidR="00136940">
        <w:t xml:space="preserve"> and has </w:t>
      </w:r>
      <w:r w:rsidR="00911D87">
        <w:t>exposed pre-existing inequalities in healthcare</w:t>
      </w:r>
      <w:r w:rsidR="00174066">
        <w:t>.</w:t>
      </w:r>
      <w:r w:rsidR="006A6295">
        <w:t xml:space="preserve"> A</w:t>
      </w:r>
      <w:r w:rsidR="00606C24">
        <w:t>ge</w:t>
      </w:r>
      <w:r w:rsidR="00B939FB">
        <w:t xml:space="preserve">, </w:t>
      </w:r>
      <w:r w:rsidR="0081418B">
        <w:t xml:space="preserve">the </w:t>
      </w:r>
      <w:r w:rsidR="00606C24">
        <w:t>presence of</w:t>
      </w:r>
      <w:r w:rsidR="00B939FB">
        <w:t xml:space="preserve"> pre-existing </w:t>
      </w:r>
      <w:r w:rsidR="00606C24">
        <w:t xml:space="preserve">health </w:t>
      </w:r>
      <w:r w:rsidR="00B939FB">
        <w:t xml:space="preserve">conditions, </w:t>
      </w:r>
      <w:r w:rsidR="000551A7">
        <w:t xml:space="preserve">geographical </w:t>
      </w:r>
      <w:r w:rsidR="0081418B">
        <w:t>location</w:t>
      </w:r>
      <w:r w:rsidR="000551A7">
        <w:t>, gender</w:t>
      </w:r>
      <w:r w:rsidR="00E94B54">
        <w:t xml:space="preserve">, and ethnicity have all been found to </w:t>
      </w:r>
      <w:r w:rsidR="0081418B">
        <w:t xml:space="preserve">correlate with differences </w:t>
      </w:r>
      <w:r w:rsidR="00EF6E62">
        <w:t>in patient outcomes.</w:t>
      </w:r>
      <w:r w:rsidR="00976248">
        <w:t xml:space="preserve"> </w:t>
      </w:r>
      <w:r w:rsidR="00D2661D">
        <w:t xml:space="preserve">In our policy briefing, we </w:t>
      </w:r>
      <w:r w:rsidR="008B38C4">
        <w:t xml:space="preserve">suggest that questions around </w:t>
      </w:r>
      <w:r w:rsidR="00326D6B">
        <w:t>unequal impact of C</w:t>
      </w:r>
      <w:r w:rsidR="0081418B">
        <w:t>OVID</w:t>
      </w:r>
      <w:r w:rsidR="00326D6B">
        <w:t xml:space="preserve">-19 </w:t>
      </w:r>
      <w:r w:rsidR="008B54B4">
        <w:t xml:space="preserve">should be part of a wider discussion around </w:t>
      </w:r>
      <w:r w:rsidR="00CA3C7F">
        <w:t xml:space="preserve">what actions should be taken towards addressing </w:t>
      </w:r>
      <w:r w:rsidR="00A21697">
        <w:t xml:space="preserve">those inequalities </w:t>
      </w:r>
      <w:r w:rsidR="0081418B">
        <w:t xml:space="preserve">in the </w:t>
      </w:r>
      <w:r w:rsidR="00A21697">
        <w:t>long</w:t>
      </w:r>
      <w:r w:rsidR="0081418B">
        <w:t xml:space="preserve"> </w:t>
      </w:r>
      <w:r w:rsidR="00A21697">
        <w:t xml:space="preserve">term. </w:t>
      </w:r>
      <w:r w:rsidR="0081418B">
        <w:t xml:space="preserve"> </w:t>
      </w:r>
      <w:r w:rsidR="00C02B4D">
        <w:t>Medical</w:t>
      </w:r>
      <w:r w:rsidR="00E81548">
        <w:t xml:space="preserve"> professionals' behaviour might, for example, act as a </w:t>
      </w:r>
      <w:r w:rsidR="005D482A">
        <w:t xml:space="preserve">potential barrier to </w:t>
      </w:r>
      <w:r w:rsidR="0081418B">
        <w:t xml:space="preserve">patients </w:t>
      </w:r>
      <w:r w:rsidR="005D482A">
        <w:t>access</w:t>
      </w:r>
      <w:r w:rsidR="0081418B">
        <w:t>ing</w:t>
      </w:r>
      <w:r w:rsidR="005D482A">
        <w:t xml:space="preserve"> treatment. As such, e</w:t>
      </w:r>
      <w:r w:rsidR="00A21697">
        <w:t xml:space="preserve">nsuring that </w:t>
      </w:r>
      <w:r w:rsidR="00C02B4D">
        <w:t>medical</w:t>
      </w:r>
      <w:r w:rsidR="00A21697">
        <w:t xml:space="preserve"> professionals </w:t>
      </w:r>
      <w:r w:rsidR="001F7B4E">
        <w:t xml:space="preserve">consider how </w:t>
      </w:r>
      <w:r w:rsidR="00085717">
        <w:t xml:space="preserve">their </w:t>
      </w:r>
      <w:r w:rsidR="001F7B4E">
        <w:t>attitudes, bias and personal beliefs</w:t>
      </w:r>
      <w:r w:rsidR="006B56EC">
        <w:t xml:space="preserve"> might contribute to health inequalities</w:t>
      </w:r>
      <w:r w:rsidR="00217B5C">
        <w:t xml:space="preserve"> </w:t>
      </w:r>
      <w:r w:rsidR="0081418B">
        <w:t xml:space="preserve">is </w:t>
      </w:r>
      <w:r w:rsidR="00217B5C">
        <w:t>an important step</w:t>
      </w:r>
      <w:r w:rsidR="00BE75BC">
        <w:t xml:space="preserve"> to</w:t>
      </w:r>
      <w:r w:rsidR="0081418B">
        <w:t xml:space="preserve">wards </w:t>
      </w:r>
      <w:r w:rsidR="00085717">
        <w:t>long</w:t>
      </w:r>
      <w:r w:rsidR="0081418B">
        <w:t xml:space="preserve"> </w:t>
      </w:r>
      <w:r w:rsidR="00085717">
        <w:t>term</w:t>
      </w:r>
      <w:r w:rsidR="00A003A5">
        <w:t xml:space="preserve"> change</w:t>
      </w:r>
      <w:r w:rsidR="00961BE5">
        <w:t xml:space="preserve">. </w:t>
      </w:r>
    </w:p>
    <w:p w14:paraId="10B23DB9" w14:textId="738C73D5" w:rsidR="006E7FE5" w:rsidRPr="00EE42B3" w:rsidRDefault="00B12DD4" w:rsidP="00C4360E">
      <w:pPr>
        <w:pStyle w:val="ListParagraph"/>
      </w:pPr>
      <w:r>
        <w:t xml:space="preserve">We </w:t>
      </w:r>
      <w:r w:rsidR="00F24BF4">
        <w:t>welcome</w:t>
      </w:r>
      <w:proofErr w:type="gramStart"/>
      <w:r w:rsidR="00F24BF4">
        <w:t>, in particular, the</w:t>
      </w:r>
      <w:proofErr w:type="gramEnd"/>
      <w:r w:rsidR="00F24BF4">
        <w:t xml:space="preserve"> inclu</w:t>
      </w:r>
      <w:r w:rsidR="00956D6D">
        <w:t xml:space="preserve">sion of </w:t>
      </w:r>
      <w:r w:rsidR="00F71910">
        <w:t xml:space="preserve">economic factors in the list of considerations to be </w:t>
      </w:r>
      <w:r w:rsidR="0081418B">
        <w:t xml:space="preserve">taken into account </w:t>
      </w:r>
      <w:r w:rsidR="00F71910">
        <w:t xml:space="preserve">by health professionals when assessing patients. </w:t>
      </w:r>
      <w:r w:rsidR="0061457C">
        <w:t xml:space="preserve">Our work </w:t>
      </w:r>
      <w:r w:rsidR="00E02C15" w:rsidRPr="00E02C15">
        <w:t xml:space="preserve">on the </w:t>
      </w:r>
      <w:hyperlink r:id="rId15" w:history="1">
        <w:r w:rsidR="00031285">
          <w:rPr>
            <w:rStyle w:val="Hyperlink"/>
          </w:rPr>
          <w:t>ethics of</w:t>
        </w:r>
        <w:r w:rsidR="00E02C15" w:rsidRPr="00E02C15">
          <w:rPr>
            <w:rStyle w:val="Hyperlink"/>
          </w:rPr>
          <w:t xml:space="preserve"> </w:t>
        </w:r>
        <w:r w:rsidR="006A4006">
          <w:rPr>
            <w:rStyle w:val="Hyperlink"/>
          </w:rPr>
          <w:t xml:space="preserve">using </w:t>
        </w:r>
        <w:r w:rsidR="00E02C15" w:rsidRPr="00E02C15">
          <w:rPr>
            <w:rStyle w:val="Hyperlink"/>
          </w:rPr>
          <w:t>technology in mental healthcare</w:t>
        </w:r>
      </w:hyperlink>
      <w:r w:rsidR="00E25B21">
        <w:t xml:space="preserve"> highlights the need to </w:t>
      </w:r>
      <w:r w:rsidR="00ED3B4B">
        <w:t>tackle socio-economic determinants of ill health</w:t>
      </w:r>
      <w:r w:rsidR="00562028">
        <w:t xml:space="preserve"> </w:t>
      </w:r>
      <w:proofErr w:type="gramStart"/>
      <w:r w:rsidR="00562028">
        <w:t>in order to</w:t>
      </w:r>
      <w:proofErr w:type="gramEnd"/>
      <w:r w:rsidR="00562028">
        <w:t xml:space="preserve"> reduce health inequalities</w:t>
      </w:r>
      <w:r w:rsidR="00870306">
        <w:t xml:space="preserve">. </w:t>
      </w:r>
      <w:proofErr w:type="gramStart"/>
      <w:r w:rsidR="0081418B">
        <w:t xml:space="preserve">A </w:t>
      </w:r>
      <w:r w:rsidR="004C11AB">
        <w:t>number of</w:t>
      </w:r>
      <w:proofErr w:type="gramEnd"/>
      <w:r w:rsidR="004C11AB">
        <w:t xml:space="preserve"> groups experience inequalities in access to mental health services, including</w:t>
      </w:r>
      <w:r w:rsidR="004C11AB" w:rsidRPr="002F472A">
        <w:t xml:space="preserve"> people with ethnic minority backgrounds, homeless people, older adults, refugees and those living in poverty.</w:t>
      </w:r>
      <w:r w:rsidR="004C11AB">
        <w:t xml:space="preserve"> </w:t>
      </w:r>
      <w:r w:rsidR="001A135F">
        <w:t>In our bioethics</w:t>
      </w:r>
      <w:r w:rsidR="005A2516">
        <w:t xml:space="preserve"> briefing note, we </w:t>
      </w:r>
      <w:r w:rsidR="007E6301">
        <w:t>explain how m</w:t>
      </w:r>
      <w:r w:rsidR="0096675E">
        <w:t xml:space="preserve">ental </w:t>
      </w:r>
      <w:r w:rsidR="00870306" w:rsidRPr="00870306">
        <w:t xml:space="preserve">wellbeing depends on </w:t>
      </w:r>
      <w:proofErr w:type="gramStart"/>
      <w:r w:rsidR="00870306" w:rsidRPr="00870306">
        <w:t>a number of</w:t>
      </w:r>
      <w:proofErr w:type="gramEnd"/>
      <w:r w:rsidR="00870306" w:rsidRPr="00870306">
        <w:t xml:space="preserve"> intertwine</w:t>
      </w:r>
      <w:r w:rsidR="00D46D5C">
        <w:t xml:space="preserve">d </w:t>
      </w:r>
      <w:r w:rsidR="00870306" w:rsidRPr="00870306">
        <w:t>factors, including social connectedness, housing,</w:t>
      </w:r>
      <w:r w:rsidR="00D46D5C">
        <w:t xml:space="preserve"> </w:t>
      </w:r>
      <w:r w:rsidR="00870306" w:rsidRPr="00870306">
        <w:t>employment, and education.</w:t>
      </w:r>
      <w:r w:rsidR="00740BBE">
        <w:t xml:space="preserve"> </w:t>
      </w:r>
      <w:r w:rsidR="00D13B7A">
        <w:t xml:space="preserve">Ensuring that </w:t>
      </w:r>
      <w:r w:rsidR="007E6301">
        <w:t>socio-economic</w:t>
      </w:r>
      <w:r w:rsidR="00D13B7A">
        <w:t xml:space="preserve"> factors are considered</w:t>
      </w:r>
      <w:r w:rsidR="00F60386">
        <w:t xml:space="preserve"> by</w:t>
      </w:r>
      <w:r w:rsidR="00E6185F">
        <w:t xml:space="preserve"> mental health professionals </w:t>
      </w:r>
      <w:r w:rsidR="00A33E0D" w:rsidRPr="00A33E0D">
        <w:t>when assessing patients</w:t>
      </w:r>
      <w:r w:rsidR="005C4884">
        <w:t xml:space="preserve"> </w:t>
      </w:r>
      <w:r w:rsidR="00DD3101">
        <w:t>would be important to</w:t>
      </w:r>
      <w:r w:rsidR="00894B03">
        <w:t xml:space="preserve"> improve the quality of support</w:t>
      </w:r>
      <w:r w:rsidR="00E27EE9">
        <w:t xml:space="preserve"> that is provided to </w:t>
      </w:r>
      <w:r w:rsidR="00A5759C">
        <w:t>different</w:t>
      </w:r>
      <w:r w:rsidR="00756FBA">
        <w:t xml:space="preserve"> patient</w:t>
      </w:r>
      <w:r w:rsidR="00D13B7A">
        <w:t xml:space="preserve"> groups.</w:t>
      </w:r>
    </w:p>
    <w:p w14:paraId="7DA57B32" w14:textId="3DCE9A6F" w:rsidR="00DC1439" w:rsidRDefault="00086DD6" w:rsidP="00C4360E">
      <w:pPr>
        <w:pStyle w:val="Heading1"/>
      </w:pPr>
      <w:r>
        <w:t xml:space="preserve">Q.18 </w:t>
      </w:r>
      <w:r w:rsidR="00D36719">
        <w:t xml:space="preserve">How far do you agree </w:t>
      </w:r>
      <w:r w:rsidR="00292F8B">
        <w:t>or disagree that GMP should include duties on using technology and AI?</w:t>
      </w:r>
    </w:p>
    <w:p w14:paraId="5AAECC2B" w14:textId="5F935CB6" w:rsidR="00292F8B" w:rsidRDefault="00C4360E" w:rsidP="00C4360E">
      <w:pPr>
        <w:pStyle w:val="ListParagraph"/>
      </w:pPr>
      <w:r>
        <w:t>We s</w:t>
      </w:r>
      <w:r w:rsidR="001F350C">
        <w:t>trongly agree.</w:t>
      </w:r>
    </w:p>
    <w:p w14:paraId="2DA5D01A" w14:textId="61722490" w:rsidR="001F350C" w:rsidRPr="001F350C" w:rsidRDefault="001F350C" w:rsidP="00C4360E">
      <w:pPr>
        <w:pStyle w:val="Heading1"/>
      </w:pPr>
      <w:r w:rsidRPr="001F350C">
        <w:t>Comments on technology and AI</w:t>
      </w:r>
    </w:p>
    <w:p w14:paraId="302BB08C" w14:textId="2AC00484" w:rsidR="00292F8B" w:rsidRDefault="000D6C6A" w:rsidP="00C4360E">
      <w:pPr>
        <w:pStyle w:val="ListParagraph"/>
      </w:pPr>
      <w:r>
        <w:t xml:space="preserve">We </w:t>
      </w:r>
      <w:r w:rsidR="00D67B9B">
        <w:t>would welcome the introduction o</w:t>
      </w:r>
      <w:r w:rsidR="00C4360E">
        <w:t>f</w:t>
      </w:r>
      <w:r w:rsidR="00D67B9B">
        <w:t xml:space="preserve"> new guidance on technology and </w:t>
      </w:r>
      <w:r w:rsidR="00756FBA">
        <w:t>artificial intelligence (</w:t>
      </w:r>
      <w:r w:rsidR="00D67B9B">
        <w:t>AI</w:t>
      </w:r>
      <w:r w:rsidR="00756FBA">
        <w:t>)</w:t>
      </w:r>
      <w:r w:rsidR="00C74386">
        <w:t xml:space="preserve"> in the updated version of the </w:t>
      </w:r>
      <w:r w:rsidR="00C74386" w:rsidRPr="00C4360E">
        <w:rPr>
          <w:i/>
          <w:iCs/>
        </w:rPr>
        <w:t>Good Medical Practice</w:t>
      </w:r>
      <w:r w:rsidR="009223AA">
        <w:t xml:space="preserve">. </w:t>
      </w:r>
    </w:p>
    <w:p w14:paraId="068F4805" w14:textId="3F2CAEDB" w:rsidR="00195E34" w:rsidRPr="00B5167D" w:rsidRDefault="008D6813" w:rsidP="00C4360E">
      <w:pPr>
        <w:pStyle w:val="ListParagraph"/>
        <w:rPr>
          <w:color w:val="000000" w:themeColor="text1"/>
        </w:rPr>
      </w:pPr>
      <w:r>
        <w:t xml:space="preserve">Our response to this question is </w:t>
      </w:r>
      <w:r w:rsidR="00C4360E">
        <w:t xml:space="preserve">draws on </w:t>
      </w:r>
      <w:r>
        <w:t xml:space="preserve"> our bioethics briefing </w:t>
      </w:r>
      <w:r w:rsidR="00C4360E">
        <w:t xml:space="preserve">note, </w:t>
      </w:r>
      <w:hyperlink r:id="rId16" w:history="1">
        <w:r w:rsidRPr="00C4360E">
          <w:rPr>
            <w:rStyle w:val="Hyperlink"/>
            <w:i/>
            <w:iCs/>
          </w:rPr>
          <w:t>Artificial Intelligence (AI) in healthcare and research</w:t>
        </w:r>
      </w:hyperlink>
      <w:r w:rsidR="00C779D1">
        <w:t xml:space="preserve">, our recently published bioethics briefing note </w:t>
      </w:r>
      <w:hyperlink r:id="rId17" w:history="1">
        <w:r w:rsidR="00C4360E" w:rsidRPr="00C4360E">
          <w:rPr>
            <w:rStyle w:val="Hyperlink"/>
            <w:i/>
            <w:iCs/>
          </w:rPr>
          <w:t>T</w:t>
        </w:r>
        <w:r w:rsidR="00C779D1" w:rsidRPr="00C4360E">
          <w:rPr>
            <w:rStyle w:val="Hyperlink"/>
            <w:i/>
            <w:iCs/>
          </w:rPr>
          <w:t>he role of technology in mental healthcare</w:t>
        </w:r>
      </w:hyperlink>
      <w:r w:rsidR="00B5167D">
        <w:t xml:space="preserve">, </w:t>
      </w:r>
      <w:r w:rsidR="00C779D1">
        <w:t xml:space="preserve">a </w:t>
      </w:r>
      <w:hyperlink r:id="rId18" w:history="1">
        <w:r w:rsidR="00C779D1" w:rsidRPr="002158D8">
          <w:rPr>
            <w:rStyle w:val="Hyperlink"/>
          </w:rPr>
          <w:t xml:space="preserve">series of engagement activities </w:t>
        </w:r>
        <w:r w:rsidR="008E680C" w:rsidRPr="002158D8">
          <w:rPr>
            <w:rStyle w:val="Hyperlink"/>
          </w:rPr>
          <w:t>with experts by experience conducted in partnership with Rethink Mental Illness</w:t>
        </w:r>
      </w:hyperlink>
      <w:r w:rsidR="00B5167D">
        <w:rPr>
          <w:rStyle w:val="Hyperlink"/>
        </w:rPr>
        <w:t xml:space="preserve">, </w:t>
      </w:r>
      <w:r w:rsidR="00B5167D" w:rsidRPr="00B5167D">
        <w:rPr>
          <w:rStyle w:val="Hyperlink"/>
          <w:color w:val="000000" w:themeColor="text1"/>
          <w:u w:val="none"/>
        </w:rPr>
        <w:t xml:space="preserve">and a </w:t>
      </w:r>
      <w:hyperlink r:id="rId19" w:history="1">
        <w:r w:rsidR="00B5167D" w:rsidRPr="00026CFB">
          <w:rPr>
            <w:rStyle w:val="Hyperlink"/>
          </w:rPr>
          <w:t>roundtable meeting</w:t>
        </w:r>
      </w:hyperlink>
      <w:r w:rsidR="00B5167D" w:rsidRPr="00B5167D">
        <w:rPr>
          <w:rStyle w:val="Hyperlink"/>
          <w:color w:val="000000" w:themeColor="text1"/>
          <w:u w:val="none"/>
        </w:rPr>
        <w:t xml:space="preserve"> to discuss </w:t>
      </w:r>
      <w:r w:rsidR="00D339E5">
        <w:rPr>
          <w:rStyle w:val="Hyperlink"/>
          <w:color w:val="000000" w:themeColor="text1"/>
          <w:u w:val="none"/>
        </w:rPr>
        <w:t xml:space="preserve">ethical considerations in digital access to mental health support in relation </w:t>
      </w:r>
      <w:r w:rsidR="00D339E5">
        <w:rPr>
          <w:color w:val="000000" w:themeColor="text1"/>
        </w:rPr>
        <w:t>to</w:t>
      </w:r>
      <w:r w:rsidR="00B5167D" w:rsidRPr="00B5167D">
        <w:rPr>
          <w:color w:val="000000" w:themeColor="text1"/>
        </w:rPr>
        <w:t xml:space="preserve"> the Department for Health and Social Care's 10-year Mental Health and Wellbeing Plan</w:t>
      </w:r>
      <w:r w:rsidR="00D339E5">
        <w:rPr>
          <w:color w:val="000000" w:themeColor="text1"/>
        </w:rPr>
        <w:t>.</w:t>
      </w:r>
    </w:p>
    <w:p w14:paraId="6AFBC428" w14:textId="7403C9BA" w:rsidR="006779EB" w:rsidRDefault="006779EB" w:rsidP="00C4360E">
      <w:pPr>
        <w:pStyle w:val="ListParagraph"/>
      </w:pPr>
      <w:r w:rsidRPr="006779EB">
        <w:t xml:space="preserve">The </w:t>
      </w:r>
      <w:r w:rsidR="0017744B">
        <w:t>interest in</w:t>
      </w:r>
      <w:r w:rsidR="00C4360E">
        <w:t xml:space="preserve">, </w:t>
      </w:r>
      <w:r w:rsidR="0017744B">
        <w:t xml:space="preserve">and </w:t>
      </w:r>
      <w:r w:rsidRPr="006779EB">
        <w:t>demand for</w:t>
      </w:r>
      <w:r w:rsidR="00C4360E">
        <w:t>,</w:t>
      </w:r>
      <w:r w:rsidRPr="006779EB">
        <w:t xml:space="preserve"> </w:t>
      </w:r>
      <w:r w:rsidR="004C6213">
        <w:t xml:space="preserve">healthcare </w:t>
      </w:r>
      <w:r w:rsidRPr="006779EB">
        <w:t xml:space="preserve">support </w:t>
      </w:r>
      <w:r w:rsidR="00C4360E">
        <w:t xml:space="preserve">technologies </w:t>
      </w:r>
      <w:r w:rsidRPr="006779EB">
        <w:t>has grown in recent years, partly due to the increased exposure of the population to remote healthcare technology during the COVID-19 pandemic.</w:t>
      </w:r>
      <w:r w:rsidR="00606A38">
        <w:rPr>
          <w:rStyle w:val="FootnoteReference"/>
        </w:rPr>
        <w:footnoteReference w:id="2"/>
      </w:r>
      <w:r w:rsidR="006926FB">
        <w:t xml:space="preserve"> </w:t>
      </w:r>
      <w:r w:rsidR="00B1431A">
        <w:t>The use of AI and digital technologies in clinical practice is likely to become more widespread in the future.</w:t>
      </w:r>
      <w:r w:rsidR="00B1431A" w:rsidRPr="006779EB">
        <w:t xml:space="preserve"> </w:t>
      </w:r>
      <w:r w:rsidR="00B1431A">
        <w:t>As such,</w:t>
      </w:r>
      <w:r w:rsidR="00F2005E">
        <w:t xml:space="preserve"> it </w:t>
      </w:r>
      <w:r w:rsidR="00745004">
        <w:t>is</w:t>
      </w:r>
      <w:r w:rsidR="00F2005E">
        <w:t xml:space="preserve"> important to consider </w:t>
      </w:r>
      <w:r w:rsidR="008D27BF">
        <w:t xml:space="preserve">the ways in which the use of AI and digital technologies might </w:t>
      </w:r>
      <w:r w:rsidR="008253DA">
        <w:t xml:space="preserve">affect </w:t>
      </w:r>
      <w:r w:rsidR="00745004">
        <w:t xml:space="preserve">and be incorporated into </w:t>
      </w:r>
      <w:r w:rsidR="008253DA">
        <w:t>clinical practice</w:t>
      </w:r>
      <w:r w:rsidR="008B0332">
        <w:t>.</w:t>
      </w:r>
    </w:p>
    <w:p w14:paraId="3AD7C7EA" w14:textId="3C80C5F4" w:rsidR="008B0332" w:rsidRDefault="00B96D9F" w:rsidP="00745004">
      <w:pPr>
        <w:pStyle w:val="ListParagraph"/>
      </w:pPr>
      <w:r w:rsidRPr="00745004">
        <w:t>E</w:t>
      </w:r>
      <w:r w:rsidR="005F75CC" w:rsidRPr="00745004">
        <w:t xml:space="preserve">merging health technologies, such as smartphone apps, </w:t>
      </w:r>
      <w:r w:rsidR="00DE37C2" w:rsidRPr="00745004">
        <w:t xml:space="preserve">chatbots, AI and predictive analytics, have the potential to </w:t>
      </w:r>
      <w:r w:rsidR="00BF07B3" w:rsidRPr="00745004">
        <w:t>increase access to care</w:t>
      </w:r>
      <w:r w:rsidR="00A81F7C" w:rsidRPr="00745004">
        <w:t xml:space="preserve">, </w:t>
      </w:r>
      <w:r w:rsidR="00835389" w:rsidRPr="00745004">
        <w:t>reduce waiting times</w:t>
      </w:r>
      <w:r w:rsidR="001A7AE6" w:rsidRPr="00745004">
        <w:t xml:space="preserve">, </w:t>
      </w:r>
      <w:r w:rsidR="00745004">
        <w:t xml:space="preserve">and </w:t>
      </w:r>
      <w:r w:rsidR="001A7AE6" w:rsidRPr="00745004">
        <w:t>enable flexible support</w:t>
      </w:r>
      <w:r w:rsidR="00745004">
        <w:t xml:space="preserve">.  They could also </w:t>
      </w:r>
      <w:r w:rsidR="00B02D35" w:rsidRPr="00745004">
        <w:t>have a role to play in improving the effectiveness of some interventions</w:t>
      </w:r>
      <w:r w:rsidR="00A81F7C" w:rsidRPr="00745004">
        <w:t xml:space="preserve">, for example by enabling faster and more precise decision-making. </w:t>
      </w:r>
      <w:r w:rsidR="009F1F00" w:rsidRPr="00745004">
        <w:t xml:space="preserve">At the same time, the integration of AI and digital technologies </w:t>
      </w:r>
      <w:r w:rsidR="001E0F5A" w:rsidRPr="00745004">
        <w:t>in</w:t>
      </w:r>
      <w:r w:rsidR="00745004">
        <w:t>to</w:t>
      </w:r>
      <w:r w:rsidR="001E0F5A" w:rsidRPr="00745004">
        <w:t xml:space="preserve"> clinical practice raises </w:t>
      </w:r>
      <w:proofErr w:type="gramStart"/>
      <w:r w:rsidR="001E0F5A" w:rsidRPr="00745004">
        <w:t>a number of</w:t>
      </w:r>
      <w:proofErr w:type="gramEnd"/>
      <w:r w:rsidR="001E0F5A" w:rsidRPr="00745004">
        <w:t xml:space="preserve"> ethical concerns</w:t>
      </w:r>
      <w:r w:rsidR="00C355D1" w:rsidRPr="00745004">
        <w:t xml:space="preserve"> that </w:t>
      </w:r>
      <w:r w:rsidR="00C02B4D">
        <w:t>medical</w:t>
      </w:r>
      <w:r w:rsidR="00C355D1" w:rsidRPr="00745004">
        <w:t xml:space="preserve"> professionals should consider when advising on</w:t>
      </w:r>
      <w:r w:rsidR="00F61D6E" w:rsidRPr="00745004">
        <w:t xml:space="preserve"> or prescribing</w:t>
      </w:r>
      <w:r w:rsidR="00F61D6E">
        <w:t xml:space="preserve"> these forms of intervention</w:t>
      </w:r>
      <w:r w:rsidR="00164974">
        <w:t xml:space="preserve"> and support. These include</w:t>
      </w:r>
      <w:r w:rsidR="00676648">
        <w:t xml:space="preserve"> health inequalities, effectiveness and safety, patient choice, and autonomy and consent.  We expand on each of these areas below.</w:t>
      </w:r>
    </w:p>
    <w:p w14:paraId="3525C50D" w14:textId="682B486E" w:rsidR="00676648" w:rsidRPr="00676648" w:rsidRDefault="00676648" w:rsidP="00CA70A3">
      <w:pPr>
        <w:pStyle w:val="Heading2"/>
      </w:pPr>
      <w:r w:rsidRPr="00676648">
        <w:t>Health inequalities</w:t>
      </w:r>
    </w:p>
    <w:p w14:paraId="56C669DF" w14:textId="50CCFE8D" w:rsidR="008C34BC" w:rsidRPr="00CA70A3" w:rsidRDefault="005C5E60" w:rsidP="00CA70A3">
      <w:pPr>
        <w:pStyle w:val="ListParagraph"/>
      </w:pPr>
      <w:r w:rsidRPr="00CA70A3">
        <w:t>In leveraging the power of digital technology, it is important to make sure that steps are taken in order not to exacerbate existing inequalities in</w:t>
      </w:r>
      <w:r w:rsidR="00615580" w:rsidRPr="00CA70A3">
        <w:t xml:space="preserve"> </w:t>
      </w:r>
      <w:r w:rsidRPr="00CA70A3">
        <w:t xml:space="preserve">healthcare. </w:t>
      </w:r>
      <w:r w:rsidR="00D97CAB" w:rsidRPr="00CA70A3">
        <w:t xml:space="preserve">An increased reliance on technology for health support could lead to the exclusion of </w:t>
      </w:r>
      <w:proofErr w:type="gramStart"/>
      <w:r w:rsidR="00D97CAB" w:rsidRPr="00CA70A3">
        <w:t>a number of</w:t>
      </w:r>
      <w:proofErr w:type="gramEnd"/>
      <w:r w:rsidR="00D97CAB" w:rsidRPr="00CA70A3">
        <w:t xml:space="preserve"> population groups, such as those who cannot afford technology or find it difficult to use it, and those who do not have access to private or safe space, such as rough sleepers and victims of domestic violence. </w:t>
      </w:r>
      <w:r w:rsidR="00AF7378" w:rsidRPr="00CA70A3">
        <w:t>This could</w:t>
      </w:r>
      <w:r w:rsidR="00D97CAB" w:rsidRPr="00CA70A3">
        <w:t xml:space="preserve"> </w:t>
      </w:r>
      <w:r w:rsidR="00CA70A3">
        <w:t xml:space="preserve">compound the impact on those </w:t>
      </w:r>
      <w:r w:rsidR="00D97CAB" w:rsidRPr="00CA70A3">
        <w:t xml:space="preserve">already </w:t>
      </w:r>
      <w:r w:rsidR="00CA70A3">
        <w:t xml:space="preserve">experiencing disadvantage </w:t>
      </w:r>
      <w:r w:rsidR="00FB3670" w:rsidRPr="00CA70A3">
        <w:t xml:space="preserve">and lead to a deterioration in </w:t>
      </w:r>
      <w:r w:rsidR="00C410D7" w:rsidRPr="00CA70A3">
        <w:t xml:space="preserve">their </w:t>
      </w:r>
      <w:r w:rsidR="00FB3670" w:rsidRPr="00CA70A3">
        <w:t>hea</w:t>
      </w:r>
      <w:r w:rsidR="00422072" w:rsidRPr="00CA70A3">
        <w:t>lth.</w:t>
      </w:r>
      <w:r w:rsidR="00D97CAB" w:rsidRPr="00CA70A3">
        <w:t xml:space="preserve"> </w:t>
      </w:r>
      <w:r w:rsidR="00C410D7" w:rsidRPr="00CA70A3">
        <w:t>T</w:t>
      </w:r>
      <w:r w:rsidR="00FA317D" w:rsidRPr="00CA70A3">
        <w:t xml:space="preserve">his </w:t>
      </w:r>
      <w:r w:rsidR="00CA70A3">
        <w:t xml:space="preserve">finding </w:t>
      </w:r>
      <w:r w:rsidR="00FA317D" w:rsidRPr="00CA70A3">
        <w:t xml:space="preserve">emerged </w:t>
      </w:r>
      <w:r w:rsidR="00CA70A3">
        <w:t xml:space="preserve">clearly </w:t>
      </w:r>
      <w:r w:rsidR="00FA317D" w:rsidRPr="00CA70A3">
        <w:t>from our</w:t>
      </w:r>
      <w:r w:rsidR="007D5E6F" w:rsidRPr="00CA70A3">
        <w:t xml:space="preserve"> engagement sessions involving people with lived experience of mental health conditions</w:t>
      </w:r>
      <w:r w:rsidR="00FA317D" w:rsidRPr="00CA70A3">
        <w:t>, where carers and those attending peer-support groups</w:t>
      </w:r>
      <w:r w:rsidR="00615CF7" w:rsidRPr="00CA70A3">
        <w:t xml:space="preserve"> reported a deterioration in mental health during</w:t>
      </w:r>
      <w:r w:rsidR="00D97CAB" w:rsidRPr="00CA70A3">
        <w:t xml:space="preserve"> the C</w:t>
      </w:r>
      <w:r w:rsidR="00CA70A3">
        <w:t>OVID</w:t>
      </w:r>
      <w:r w:rsidR="00D97CAB" w:rsidRPr="00CA70A3">
        <w:t xml:space="preserve">-19 pandemic, as people struggled to access online support. </w:t>
      </w:r>
    </w:p>
    <w:p w14:paraId="23F9DCA3" w14:textId="15363C8C" w:rsidR="00422072" w:rsidRDefault="00004914" w:rsidP="00C4360E">
      <w:pPr>
        <w:pStyle w:val="ListParagraph"/>
      </w:pPr>
      <w:r>
        <w:t>Although AI applications have the potential to reduce human bias and error, they can also reflect and reinforce</w:t>
      </w:r>
      <w:r w:rsidR="00450DAF">
        <w:t xml:space="preserve"> biases in the data used to train them.</w:t>
      </w:r>
      <w:r w:rsidR="00076373">
        <w:t xml:space="preserve"> </w:t>
      </w:r>
      <w:r w:rsidR="002116B7">
        <w:t>AI might work less well where data are scarce, thereby affecting those groups who are underrepresented in clinical trials and research data, such as people with ethnic minority backgrounds</w:t>
      </w:r>
      <w:r w:rsidR="005D460A">
        <w:t xml:space="preserve">. Moreover, </w:t>
      </w:r>
      <w:r w:rsidR="00A566F7">
        <w:t xml:space="preserve">biases can be also embedded in the algorithms themselves and reflect the prejudices </w:t>
      </w:r>
      <w:r w:rsidR="00B11032">
        <w:t xml:space="preserve">and beliefs </w:t>
      </w:r>
      <w:r w:rsidR="00A566F7">
        <w:t>of developers</w:t>
      </w:r>
      <w:r w:rsidR="00B11032">
        <w:t xml:space="preserve">. </w:t>
      </w:r>
    </w:p>
    <w:p w14:paraId="05537891" w14:textId="6B61C87D" w:rsidR="00D97CAB" w:rsidRDefault="005E460F" w:rsidP="00C4360E">
      <w:pPr>
        <w:pStyle w:val="ListParagraph"/>
      </w:pPr>
      <w:r>
        <w:t>I</w:t>
      </w:r>
      <w:r w:rsidR="00142F94">
        <w:t>n order to ensure that patients are treated fairly</w:t>
      </w:r>
      <w:r w:rsidR="001F304D">
        <w:t xml:space="preserve"> and with respect</w:t>
      </w:r>
      <w:r w:rsidR="00142F94">
        <w:t>,</w:t>
      </w:r>
      <w:r w:rsidR="00BC7005">
        <w:t xml:space="preserve"> it</w:t>
      </w:r>
      <w:r w:rsidR="00365407">
        <w:t xml:space="preserve"> </w:t>
      </w:r>
      <w:r w:rsidR="00CA70A3">
        <w:t xml:space="preserve">is important that </w:t>
      </w:r>
      <w:r w:rsidR="00C02B4D">
        <w:t>medical</w:t>
      </w:r>
      <w:r w:rsidR="00026829">
        <w:t xml:space="preserve"> professionals </w:t>
      </w:r>
      <w:r w:rsidR="00CA70A3">
        <w:t xml:space="preserve">are alert to the </w:t>
      </w:r>
      <w:r w:rsidR="00856A69">
        <w:t xml:space="preserve">risks </w:t>
      </w:r>
      <w:r w:rsidR="0085548B">
        <w:t>of</w:t>
      </w:r>
      <w:r w:rsidR="000C5329">
        <w:t xml:space="preserve"> exacerbating </w:t>
      </w:r>
      <w:r w:rsidR="00261375">
        <w:t xml:space="preserve">biases and </w:t>
      </w:r>
      <w:r w:rsidR="000C5329">
        <w:t xml:space="preserve">inequalities </w:t>
      </w:r>
      <w:r w:rsidR="00CA70A3">
        <w:t xml:space="preserve">of access to </w:t>
      </w:r>
      <w:proofErr w:type="gramStart"/>
      <w:r w:rsidR="00BC7A62">
        <w:t>healthcare</w:t>
      </w:r>
      <w:r w:rsidR="00CA70A3">
        <w:t>,</w:t>
      </w:r>
      <w:r w:rsidR="001E2E0C">
        <w:t xml:space="preserve"> </w:t>
      </w:r>
      <w:r w:rsidR="00182518">
        <w:t>and</w:t>
      </w:r>
      <w:proofErr w:type="gramEnd"/>
      <w:r w:rsidR="00182518">
        <w:t xml:space="preserve"> ensure that they give c</w:t>
      </w:r>
      <w:r w:rsidR="005C2B24">
        <w:t>areful consideration to these risks</w:t>
      </w:r>
      <w:r w:rsidR="00182518">
        <w:t xml:space="preserve"> as part of the clinical decision-making process</w:t>
      </w:r>
      <w:r w:rsidR="00DA38DC">
        <w:t>.</w:t>
      </w:r>
    </w:p>
    <w:p w14:paraId="33182616" w14:textId="2E1BA8A4" w:rsidR="00F93A73" w:rsidRPr="00F93A73" w:rsidRDefault="00CA70A3" w:rsidP="00CA70A3">
      <w:pPr>
        <w:pStyle w:val="Heading2"/>
      </w:pPr>
      <w:r w:rsidRPr="00703F63">
        <w:t>Effectiveness and safety</w:t>
      </w:r>
    </w:p>
    <w:p w14:paraId="242AC810" w14:textId="615D2C7E" w:rsidR="00184FD6" w:rsidRDefault="00F81B22" w:rsidP="00C120D9">
      <w:pPr>
        <w:pStyle w:val="ListParagraph"/>
      </w:pPr>
      <w:r w:rsidRPr="00703F63">
        <w:t xml:space="preserve">Clinical effectiveness and safety are key </w:t>
      </w:r>
      <w:r w:rsidR="002671BB" w:rsidRPr="00703F63">
        <w:t>issues</w:t>
      </w:r>
      <w:r w:rsidRPr="00703F63">
        <w:t xml:space="preserve"> </w:t>
      </w:r>
      <w:r w:rsidR="002671BB" w:rsidRPr="00703F63">
        <w:t xml:space="preserve">when technology is used to make </w:t>
      </w:r>
      <w:r w:rsidR="00D74F99" w:rsidRPr="00703F63">
        <w:t xml:space="preserve">decisions in healthcare. For example, </w:t>
      </w:r>
      <w:r w:rsidR="00D42F23" w:rsidRPr="00703F63">
        <w:t xml:space="preserve">concerns have been raised about the lack of evidence supporting the use of some digital </w:t>
      </w:r>
      <w:r w:rsidR="004C0C66" w:rsidRPr="00703F63">
        <w:t>technolog</w:t>
      </w:r>
      <w:r w:rsidR="00C120D9">
        <w:t>ies</w:t>
      </w:r>
      <w:r w:rsidR="004C0C66" w:rsidRPr="00703F63">
        <w:t xml:space="preserve"> for mental health support</w:t>
      </w:r>
      <w:r w:rsidR="00D42F23" w:rsidRPr="00703F63">
        <w:t>.</w:t>
      </w:r>
      <w:r w:rsidR="00E61745" w:rsidRPr="00703F63">
        <w:t xml:space="preserve"> </w:t>
      </w:r>
      <w:r w:rsidR="004C0C66" w:rsidRPr="00170004">
        <w:t>D</w:t>
      </w:r>
      <w:r w:rsidR="00184FD6" w:rsidRPr="00170004">
        <w:t xml:space="preserve">espite having millions of users, many commercially developed apps have not undergone rigorous scientific testing. </w:t>
      </w:r>
      <w:r w:rsidR="004C0C66" w:rsidRPr="00170004">
        <w:t>W</w:t>
      </w:r>
      <w:r w:rsidR="00184FD6" w:rsidRPr="00170004">
        <w:t>hen they have, they are often not accompanied by any follow-up studies to help determine their effects over time</w:t>
      </w:r>
      <w:r w:rsidR="001F5D1D" w:rsidRPr="00170004">
        <w:t>,</w:t>
      </w:r>
      <w:r w:rsidR="001F5D1D">
        <w:t xml:space="preserve"> with implications for effectiveness and safety.</w:t>
      </w:r>
      <w:r w:rsidR="00184FD6" w:rsidRPr="00703F63">
        <w:t xml:space="preserve"> </w:t>
      </w:r>
      <w:r w:rsidR="008450EC" w:rsidRPr="00170004">
        <w:t>The regulatory landscape for these technologies has been called ‘</w:t>
      </w:r>
      <w:hyperlink r:id="rId20" w:history="1">
        <w:r w:rsidR="008450EC" w:rsidRPr="00170004">
          <w:rPr>
            <w:rStyle w:val="Hyperlink"/>
          </w:rPr>
          <w:t>fragmented and no</w:t>
        </w:r>
        <w:r w:rsidR="008450EC" w:rsidRPr="00170004">
          <w:rPr>
            <w:rStyle w:val="Hyperlink"/>
          </w:rPr>
          <w:t>t</w:t>
        </w:r>
        <w:r w:rsidR="008450EC" w:rsidRPr="00170004">
          <w:rPr>
            <w:rStyle w:val="Hyperlink"/>
          </w:rPr>
          <w:t xml:space="preserve"> fully developed’</w:t>
        </w:r>
      </w:hyperlink>
      <w:r w:rsidR="008450EC" w:rsidRPr="00170004">
        <w:t xml:space="preserve">. </w:t>
      </w:r>
      <w:r w:rsidR="003A3BFC">
        <w:t>M</w:t>
      </w:r>
      <w:r w:rsidR="001F5D1D" w:rsidRPr="00170004">
        <w:t xml:space="preserve">any </w:t>
      </w:r>
      <w:r w:rsidR="00C355A1" w:rsidRPr="00170004">
        <w:t>of these</w:t>
      </w:r>
      <w:r w:rsidR="003F57B0" w:rsidRPr="00170004">
        <w:t xml:space="preserve"> technologies </w:t>
      </w:r>
      <w:r w:rsidR="00887F38" w:rsidRPr="00170004">
        <w:t>are not</w:t>
      </w:r>
      <w:r w:rsidR="003F57B0" w:rsidRPr="00170004">
        <w:t xml:space="preserve"> CE marked</w:t>
      </w:r>
      <w:r w:rsidR="00160133" w:rsidRPr="00170004">
        <w:t>,</w:t>
      </w:r>
      <w:r w:rsidR="003F57B0" w:rsidRPr="00170004">
        <w:t xml:space="preserve"> either because developers are not aware that their product would be considered a medical device, or because there is a culture of not adopting these marks in the sector.</w:t>
      </w:r>
      <w:r w:rsidR="003F57B0" w:rsidRPr="00703F63">
        <w:t xml:space="preserve"> </w:t>
      </w:r>
      <w:r w:rsidR="00184FD6" w:rsidRPr="00703F63">
        <w:t xml:space="preserve">As a result, it is often unclear to service users whether an app is effective or not, whether it can deliver high-quality care and, importantly, whether it can cause harm. </w:t>
      </w:r>
      <w:r w:rsidR="00251CF5" w:rsidRPr="00703F63">
        <w:t xml:space="preserve">Users receive recommendations for health technology from a variety of sources, including </w:t>
      </w:r>
      <w:r w:rsidR="00C02B4D">
        <w:t>medical</w:t>
      </w:r>
      <w:r w:rsidR="00251CF5" w:rsidRPr="00703F63">
        <w:t xml:space="preserve"> professionals. </w:t>
      </w:r>
      <w:r w:rsidR="003A3BFC">
        <w:t>Where these are self-</w:t>
      </w:r>
      <w:proofErr w:type="gramStart"/>
      <w:r w:rsidR="003A3BFC">
        <w:t>prescribed</w:t>
      </w:r>
      <w:proofErr w:type="gramEnd"/>
      <w:r w:rsidR="003A3BFC">
        <w:t xml:space="preserve"> they should be taken into account in </w:t>
      </w:r>
      <w:r w:rsidR="00D87845">
        <w:t xml:space="preserve">a way analogous to over the counter medications referred to in paragraph 37(f), and any advice to patients should be based on reliable evidence.  </w:t>
      </w:r>
    </w:p>
    <w:p w14:paraId="3D6055BA" w14:textId="438C6097" w:rsidR="0067747F" w:rsidRDefault="00D87845" w:rsidP="00C4360E">
      <w:pPr>
        <w:pStyle w:val="ListParagraph"/>
      </w:pPr>
      <w:r>
        <w:t xml:space="preserve">As </w:t>
      </w:r>
      <w:r w:rsidR="00457DAE">
        <w:t>AI</w:t>
      </w:r>
      <w:r>
        <w:t>s</w:t>
      </w:r>
      <w:r w:rsidR="00457DAE">
        <w:t xml:space="preserve"> </w:t>
      </w:r>
      <w:r>
        <w:t xml:space="preserve">can </w:t>
      </w:r>
      <w:r w:rsidR="00457DAE">
        <w:t>make errors</w:t>
      </w:r>
      <w:r w:rsidR="006833D3">
        <w:t xml:space="preserve"> and, if an error is difficult to detect or has a knock-on effect, this could have serious implications</w:t>
      </w:r>
      <w:r w:rsidR="003C3C93">
        <w:t xml:space="preserve"> for the safety of patients. </w:t>
      </w:r>
      <w:r>
        <w:t xml:space="preserve">Medical </w:t>
      </w:r>
      <w:r w:rsidR="003C3C93">
        <w:t>professionals</w:t>
      </w:r>
      <w:r w:rsidR="00294BE4">
        <w:t xml:space="preserve"> should</w:t>
      </w:r>
      <w:r w:rsidR="007746A8">
        <w:t xml:space="preserve"> consider this when </w:t>
      </w:r>
      <w:r>
        <w:t xml:space="preserve">taking account of </w:t>
      </w:r>
      <w:r w:rsidR="00FE7ED4">
        <w:t>outputs</w:t>
      </w:r>
      <w:r>
        <w:t xml:space="preserve"> from AI systems in the context of clinical care</w:t>
      </w:r>
      <w:r w:rsidR="00FE7ED4">
        <w:t>.</w:t>
      </w:r>
    </w:p>
    <w:p w14:paraId="52A76FA3" w14:textId="4588AB4C" w:rsidR="00294BE4" w:rsidRPr="00415045" w:rsidRDefault="00D87845" w:rsidP="00D87845">
      <w:pPr>
        <w:pStyle w:val="Heading2"/>
      </w:pPr>
      <w:r w:rsidRPr="00DB7BC0">
        <w:t>Choice</w:t>
      </w:r>
    </w:p>
    <w:p w14:paraId="29E2BE49" w14:textId="53A03137" w:rsidR="00D71DA5" w:rsidRPr="00D87845" w:rsidRDefault="006B0518" w:rsidP="00D87845">
      <w:pPr>
        <w:pStyle w:val="ListParagraph"/>
      </w:pPr>
      <w:r w:rsidRPr="00D87845">
        <w:t xml:space="preserve">The importance </w:t>
      </w:r>
      <w:r w:rsidR="00AE1690" w:rsidRPr="00D87845">
        <w:t>to</w:t>
      </w:r>
      <w:r w:rsidR="00711033" w:rsidRPr="00D87845">
        <w:t xml:space="preserve"> </w:t>
      </w:r>
      <w:r w:rsidR="008F0AC1" w:rsidRPr="00D87845">
        <w:t>consider patients' views, exploring what matters to them, and</w:t>
      </w:r>
      <w:r w:rsidRPr="00D87845">
        <w:t xml:space="preserve"> ensuring that </w:t>
      </w:r>
      <w:r w:rsidR="008F0AC1" w:rsidRPr="00D87845">
        <w:t>they</w:t>
      </w:r>
      <w:r w:rsidR="004748AC" w:rsidRPr="00D87845">
        <w:t xml:space="preserve"> are involved in decisions </w:t>
      </w:r>
      <w:r w:rsidR="004E77AC" w:rsidRPr="00D87845">
        <w:t>about their care</w:t>
      </w:r>
      <w:r w:rsidR="009E2601" w:rsidRPr="00D87845">
        <w:t xml:space="preserve"> emerge</w:t>
      </w:r>
      <w:r w:rsidR="00EC5E74" w:rsidRPr="00D87845">
        <w:t xml:space="preserve"> </w:t>
      </w:r>
      <w:r w:rsidR="009E2601" w:rsidRPr="00D87845">
        <w:t xml:space="preserve">throughout the </w:t>
      </w:r>
      <w:r w:rsidR="001A43C7" w:rsidRPr="00D87845">
        <w:t xml:space="preserve">consultation </w:t>
      </w:r>
      <w:r w:rsidR="00F432F6">
        <w:t xml:space="preserve">revised </w:t>
      </w:r>
      <w:r w:rsidR="001A43C7" w:rsidRPr="00D87845">
        <w:t xml:space="preserve">draft </w:t>
      </w:r>
      <w:r w:rsidR="00F432F6">
        <w:t xml:space="preserve">of </w:t>
      </w:r>
      <w:r w:rsidR="00F432F6" w:rsidRPr="00F432F6">
        <w:rPr>
          <w:i/>
          <w:iCs/>
        </w:rPr>
        <w:t>Good Medical Practice</w:t>
      </w:r>
      <w:r w:rsidR="00C97EC3" w:rsidRPr="00D87845">
        <w:t xml:space="preserve">. </w:t>
      </w:r>
      <w:r w:rsidR="002F02A9" w:rsidRPr="00D87845">
        <w:t>In this context, it is important to consider that technology does not always represent a good or a better solution for everybody</w:t>
      </w:r>
      <w:r w:rsidR="00EC5E74" w:rsidRPr="00D87845">
        <w:t xml:space="preserve"> and that many people are not comfortable in accessing digital forms of support.</w:t>
      </w:r>
      <w:r w:rsidR="002F02A9" w:rsidRPr="00D87845">
        <w:t xml:space="preserve"> For some patients, for example, </w:t>
      </w:r>
      <w:r w:rsidR="008B0F19" w:rsidRPr="00D87845">
        <w:t>digital</w:t>
      </w:r>
      <w:r w:rsidR="002F02A9" w:rsidRPr="00D87845">
        <w:t xml:space="preserve"> support may exacerbate feelings of loneliness</w:t>
      </w:r>
      <w:r w:rsidR="00292D16" w:rsidRPr="00D87845">
        <w:t xml:space="preserve">, </w:t>
      </w:r>
      <w:r w:rsidR="002F02A9" w:rsidRPr="00D87845">
        <w:t>social isolation</w:t>
      </w:r>
      <w:r w:rsidR="00292D16" w:rsidRPr="00D87845">
        <w:t xml:space="preserve"> or, in the case of monitoring technology, mental distress and anxiety</w:t>
      </w:r>
      <w:r w:rsidR="002F02A9" w:rsidRPr="00D87845">
        <w:t>. Other service users find it very difficult to build a relationship of trust with health professionals without face-to-face contact. We found that p</w:t>
      </w:r>
      <w:r w:rsidR="005522A1" w:rsidRPr="00D87845">
        <w:t>atients are concerned that technological forms of support</w:t>
      </w:r>
      <w:r w:rsidR="00F432F6">
        <w:t>,</w:t>
      </w:r>
      <w:r w:rsidR="005522A1" w:rsidRPr="00D87845">
        <w:t xml:space="preserve"> such as digital mental health therapy</w:t>
      </w:r>
      <w:r w:rsidR="00F432F6">
        <w:t>,</w:t>
      </w:r>
      <w:r w:rsidR="005522A1" w:rsidRPr="00D87845">
        <w:t xml:space="preserve"> might be imposed on them in the future. </w:t>
      </w:r>
      <w:r w:rsidR="00F432F6">
        <w:t>The findings of o</w:t>
      </w:r>
      <w:r w:rsidR="0043795A" w:rsidRPr="00D87845">
        <w:t>ur engagement sessions</w:t>
      </w:r>
      <w:r w:rsidR="00F432F6">
        <w:t xml:space="preserve"> (mentioned above)</w:t>
      </w:r>
      <w:r w:rsidR="0043795A" w:rsidRPr="00D87845">
        <w:t xml:space="preserve">, </w:t>
      </w:r>
      <w:r w:rsidR="00F432F6">
        <w:t xml:space="preserve">suggest that it is </w:t>
      </w:r>
      <w:r w:rsidR="002F02A9" w:rsidRPr="00D87845">
        <w:t xml:space="preserve">important to ensure </w:t>
      </w:r>
      <w:r w:rsidR="0043795A" w:rsidRPr="00D87845">
        <w:t>that patients have options about different forms of care</w:t>
      </w:r>
      <w:r w:rsidR="004036B5" w:rsidRPr="00D87845">
        <w:t xml:space="preserve"> and </w:t>
      </w:r>
      <w:r w:rsidR="009119F2" w:rsidRPr="00D87845">
        <w:t xml:space="preserve">that they feel confident </w:t>
      </w:r>
      <w:r w:rsidR="00F432F6">
        <w:t xml:space="preserve">in being able to </w:t>
      </w:r>
      <w:r w:rsidR="009119F2" w:rsidRPr="00D87845">
        <w:t>refus</w:t>
      </w:r>
      <w:r w:rsidR="00F432F6">
        <w:t>e</w:t>
      </w:r>
      <w:r w:rsidR="009119F2" w:rsidRPr="00D87845">
        <w:t xml:space="preserve"> technological </w:t>
      </w:r>
      <w:r w:rsidR="008B0F19" w:rsidRPr="00D87845">
        <w:t>support</w:t>
      </w:r>
      <w:r w:rsidR="009119F2" w:rsidRPr="00D87845">
        <w:t xml:space="preserve">. </w:t>
      </w:r>
    </w:p>
    <w:p w14:paraId="4AE23E01" w14:textId="77777777" w:rsidR="00F432F6" w:rsidRPr="00F432F6" w:rsidRDefault="000D5E07" w:rsidP="00F432F6">
      <w:pPr>
        <w:pStyle w:val="Heading2"/>
      </w:pPr>
      <w:r w:rsidRPr="00E20EE4">
        <w:t>Autonomy</w:t>
      </w:r>
      <w:r w:rsidR="00E20EE4" w:rsidRPr="00E20EE4">
        <w:t xml:space="preserve"> and consent</w:t>
      </w:r>
    </w:p>
    <w:p w14:paraId="74A4666B" w14:textId="3B2AB28B" w:rsidR="000A3E43" w:rsidRDefault="00CD540E" w:rsidP="00C4360E">
      <w:pPr>
        <w:pStyle w:val="ListParagraph"/>
      </w:pPr>
      <w:r>
        <w:t xml:space="preserve">Novel technologies may be unfamiliar to </w:t>
      </w:r>
      <w:r w:rsidR="00E768FA">
        <w:t>many</w:t>
      </w:r>
      <w:r>
        <w:t xml:space="preserve">. </w:t>
      </w:r>
      <w:r w:rsidR="009A4282">
        <w:t>In the case of mental health technologies</w:t>
      </w:r>
      <w:r w:rsidR="00E768FA" w:rsidRPr="00A273EE">
        <w:t xml:space="preserve">, </w:t>
      </w:r>
      <w:r w:rsidR="009A4282">
        <w:t xml:space="preserve">for example, </w:t>
      </w:r>
      <w:r w:rsidR="00E768FA" w:rsidRPr="00A273EE">
        <w:t xml:space="preserve">knowledge and understanding </w:t>
      </w:r>
      <w:r w:rsidR="00E768FA">
        <w:t xml:space="preserve">of AI and digital health </w:t>
      </w:r>
      <w:r w:rsidR="009A4282">
        <w:t>products</w:t>
      </w:r>
      <w:r w:rsidR="00E768FA">
        <w:t xml:space="preserve"> </w:t>
      </w:r>
      <w:r w:rsidR="00E768FA" w:rsidRPr="00A273EE">
        <w:t>varies widely</w:t>
      </w:r>
      <w:r w:rsidR="00E768FA">
        <w:t xml:space="preserve"> among </w:t>
      </w:r>
      <w:r w:rsidR="00C02B4D">
        <w:t>medical</w:t>
      </w:r>
      <w:r w:rsidR="00E768FA">
        <w:t xml:space="preserve"> professionals</w:t>
      </w:r>
      <w:r w:rsidR="00E768FA" w:rsidRPr="00A273EE">
        <w:t>.</w:t>
      </w:r>
      <w:r w:rsidR="00E768FA" w:rsidRPr="00BB5BE9">
        <w:t xml:space="preserve"> </w:t>
      </w:r>
      <w:r w:rsidR="00D20AF0">
        <w:t xml:space="preserve">If AI and digital technology </w:t>
      </w:r>
      <w:r w:rsidR="00B445A7">
        <w:t>are to</w:t>
      </w:r>
      <w:r w:rsidR="00D20AF0">
        <w:t xml:space="preserve"> become more widely used in healthcare settings, it w</w:t>
      </w:r>
      <w:r w:rsidR="00F432F6">
        <w:t xml:space="preserve">ill </w:t>
      </w:r>
      <w:r w:rsidR="00D20AF0">
        <w:t xml:space="preserve">be important to ensure that professionals </w:t>
      </w:r>
      <w:r w:rsidR="00960E43" w:rsidRPr="00960E43">
        <w:t>know and understand digital health products</w:t>
      </w:r>
      <w:r w:rsidR="00D20AF0">
        <w:t>. Thi</w:t>
      </w:r>
      <w:r w:rsidR="00D81C43">
        <w:t>s</w:t>
      </w:r>
      <w:r w:rsidR="00A273EE" w:rsidRPr="00A273EE">
        <w:t xml:space="preserve"> is a key factor in </w:t>
      </w:r>
      <w:r w:rsidR="00D16EAE">
        <w:t xml:space="preserve">making sure that patients are sufficiently </w:t>
      </w:r>
      <w:r w:rsidR="00D16EAE" w:rsidRPr="00F21E11">
        <w:t>informed to make decisions about the different options available to them.</w:t>
      </w:r>
      <w:r w:rsidR="00D16EAE">
        <w:t xml:space="preserve"> </w:t>
      </w:r>
    </w:p>
    <w:p w14:paraId="547E923D" w14:textId="496FCAEA" w:rsidR="001A22FF" w:rsidRDefault="000A3E43" w:rsidP="00C4360E">
      <w:pPr>
        <w:pStyle w:val="ListParagraph"/>
      </w:pPr>
      <w:r>
        <w:t xml:space="preserve">With </w:t>
      </w:r>
      <w:r w:rsidR="00E768FA">
        <w:t>AI</w:t>
      </w:r>
      <w:r w:rsidR="0067488B">
        <w:t xml:space="preserve">, in some cases, it can be extremely difficult or even impossible to determinate the underlying </w:t>
      </w:r>
      <w:r w:rsidR="00F432F6">
        <w:t>process</w:t>
      </w:r>
      <w:r w:rsidR="0067488B">
        <w:t xml:space="preserve"> that generates outputs. </w:t>
      </w:r>
      <w:r w:rsidR="005F5153">
        <w:t xml:space="preserve">As such, if AI systems are used </w:t>
      </w:r>
      <w:r w:rsidR="0035734C">
        <w:t xml:space="preserve">to </w:t>
      </w:r>
      <w:r w:rsidR="00F432F6">
        <w:t xml:space="preserve">support </w:t>
      </w:r>
      <w:r w:rsidR="0035734C">
        <w:t xml:space="preserve">clinical </w:t>
      </w:r>
      <w:r w:rsidR="00F432F6">
        <w:t xml:space="preserve">advice </w:t>
      </w:r>
      <w:r w:rsidR="0035734C">
        <w:t xml:space="preserve">and </w:t>
      </w:r>
      <w:r w:rsidR="00F432F6">
        <w:t xml:space="preserve">medical </w:t>
      </w:r>
      <w:r w:rsidR="0035734C">
        <w:t xml:space="preserve">professionals </w:t>
      </w:r>
      <w:r w:rsidR="00F432F6">
        <w:t xml:space="preserve">are </w:t>
      </w:r>
      <w:r w:rsidR="0035734C">
        <w:t>unable to explain the</w:t>
      </w:r>
      <w:r w:rsidR="00166C98">
        <w:t xml:space="preserve"> </w:t>
      </w:r>
      <w:r w:rsidR="00F432F6">
        <w:t xml:space="preserve">reasons for </w:t>
      </w:r>
      <w:r w:rsidR="008F514E">
        <w:t>th</w:t>
      </w:r>
      <w:r w:rsidR="00F432F6">
        <w:t>at advice</w:t>
      </w:r>
      <w:r w:rsidR="008F514E">
        <w:t>, this could be seen as restricting patients</w:t>
      </w:r>
      <w:r w:rsidR="00F432F6">
        <w:t xml:space="preserve">’ ability </w:t>
      </w:r>
      <w:r w:rsidR="008F514E">
        <w:t xml:space="preserve">to </w:t>
      </w:r>
      <w:r w:rsidR="00276901">
        <w:t xml:space="preserve">make free and informed decisions </w:t>
      </w:r>
      <w:r w:rsidR="00F432F6">
        <w:t xml:space="preserve">about </w:t>
      </w:r>
      <w:r w:rsidR="00276901">
        <w:t>their health</w:t>
      </w:r>
      <w:r w:rsidR="00F432F6">
        <w:t>care</w:t>
      </w:r>
      <w:r w:rsidR="00276901">
        <w:t>.</w:t>
      </w:r>
      <w:r w:rsidR="006902E3">
        <w:t xml:space="preserve"> </w:t>
      </w:r>
    </w:p>
    <w:p w14:paraId="346F8F25" w14:textId="78FDAB6B" w:rsidR="0042611B" w:rsidRDefault="0042611B" w:rsidP="00676648">
      <w:pPr>
        <w:pStyle w:val="Heading1"/>
      </w:pPr>
      <w:r w:rsidRPr="0048608E">
        <w:t>Q.20 Questions on 'other change</w:t>
      </w:r>
      <w:r w:rsidR="0048608E">
        <w:t>s</w:t>
      </w:r>
      <w:r w:rsidR="0059116A">
        <w:t>'</w:t>
      </w:r>
    </w:p>
    <w:p w14:paraId="18931755" w14:textId="35DB177F" w:rsidR="002E3AAC" w:rsidRDefault="00605205" w:rsidP="00C4360E">
      <w:pPr>
        <w:pStyle w:val="ListParagraph"/>
      </w:pPr>
      <w:r>
        <w:t>We welcome the introduction of paragraph 39</w:t>
      </w:r>
      <w:r w:rsidR="00B73753">
        <w:t xml:space="preserve">, which encourages </w:t>
      </w:r>
      <w:r w:rsidR="00F432F6">
        <w:t xml:space="preserve">medical </w:t>
      </w:r>
      <w:r w:rsidR="00B73753">
        <w:t xml:space="preserve">professionals to </w:t>
      </w:r>
      <w:r w:rsidR="00DA4E4F">
        <w:t>inform patients o</w:t>
      </w:r>
      <w:r w:rsidR="000B1002">
        <w:t xml:space="preserve">f opportunities for them to participate in appropriate research. </w:t>
      </w:r>
      <w:r w:rsidR="0089418E">
        <w:t xml:space="preserve">Our </w:t>
      </w:r>
      <w:r w:rsidR="003C5B27">
        <w:t xml:space="preserve">report </w:t>
      </w:r>
      <w:r w:rsidR="00640872">
        <w:t>on the</w:t>
      </w:r>
      <w:r w:rsidR="0089418E">
        <w:t xml:space="preserve"> </w:t>
      </w:r>
      <w:hyperlink r:id="rId21" w:history="1">
        <w:r w:rsidR="0089418E" w:rsidRPr="008C7C74">
          <w:rPr>
            <w:rStyle w:val="Hyperlink"/>
          </w:rPr>
          <w:t xml:space="preserve">ethics of </w:t>
        </w:r>
        <w:r w:rsidR="007158E5" w:rsidRPr="008C7C74">
          <w:rPr>
            <w:rStyle w:val="Hyperlink"/>
          </w:rPr>
          <w:t>involving children in clinical research</w:t>
        </w:r>
      </w:hyperlink>
      <w:r w:rsidR="00213076">
        <w:t xml:space="preserve"> </w:t>
      </w:r>
      <w:r w:rsidR="007158E5">
        <w:t>emphasise</w:t>
      </w:r>
      <w:r w:rsidR="00C02B4D">
        <w:t>s</w:t>
      </w:r>
      <w:r w:rsidR="007158E5">
        <w:t xml:space="preserve"> the </w:t>
      </w:r>
      <w:r w:rsidR="00027071">
        <w:t xml:space="preserve">importance </w:t>
      </w:r>
      <w:r w:rsidR="00C02B4D">
        <w:t xml:space="preserve">considering </w:t>
      </w:r>
      <w:r w:rsidR="00B80431">
        <w:t xml:space="preserve">clinical research </w:t>
      </w:r>
      <w:r w:rsidR="00C02B4D">
        <w:t xml:space="preserve">as </w:t>
      </w:r>
      <w:r w:rsidR="00B713C0">
        <w:t>a</w:t>
      </w:r>
      <w:r w:rsidR="00C02B4D">
        <w:t>n</w:t>
      </w:r>
      <w:r w:rsidR="00B713C0">
        <w:t xml:space="preserve"> 'everyday' part of </w:t>
      </w:r>
      <w:r w:rsidR="00F310AC">
        <w:t>health service provision</w:t>
      </w:r>
      <w:r w:rsidR="0033560E">
        <w:t xml:space="preserve">. </w:t>
      </w:r>
      <w:r w:rsidR="00C02B4D">
        <w:t xml:space="preserve">Providing opportunities to participate in </w:t>
      </w:r>
      <w:r w:rsidR="00526C9C">
        <w:t xml:space="preserve">research </w:t>
      </w:r>
      <w:r w:rsidR="00C02B4D">
        <w:t xml:space="preserve">for </w:t>
      </w:r>
      <w:r w:rsidR="00001B10">
        <w:t xml:space="preserve">potential </w:t>
      </w:r>
      <w:r w:rsidR="00526C9C">
        <w:t xml:space="preserve">participants </w:t>
      </w:r>
      <w:r w:rsidR="00276EA2">
        <w:t>would be an important step</w:t>
      </w:r>
      <w:r w:rsidR="00916CFB">
        <w:t xml:space="preserve"> to achieve this</w:t>
      </w:r>
      <w:r w:rsidR="00C02B4D">
        <w:t xml:space="preserve"> and promote solidarity</w:t>
      </w:r>
      <w:r w:rsidR="00526C9C">
        <w:t>.</w:t>
      </w:r>
      <w:r w:rsidR="00686081">
        <w:t xml:space="preserve"> </w:t>
      </w:r>
      <w:r w:rsidR="00DD4FB0">
        <w:t xml:space="preserve">This is </w:t>
      </w:r>
      <w:r w:rsidR="00C02B4D">
        <w:t xml:space="preserve">equally </w:t>
      </w:r>
      <w:r w:rsidR="00DD4FB0">
        <w:t xml:space="preserve">important </w:t>
      </w:r>
      <w:r w:rsidR="00C02B4D">
        <w:t xml:space="preserve">for </w:t>
      </w:r>
      <w:r w:rsidR="00DD4FB0">
        <w:t xml:space="preserve">patient groups who </w:t>
      </w:r>
      <w:r w:rsidR="00C02B4D">
        <w:t>are often considered to be in positions of vulnerability</w:t>
      </w:r>
      <w:r w:rsidR="00DD4FB0">
        <w:t>, such as children and young people, older adults</w:t>
      </w:r>
      <w:r w:rsidR="00BB167F">
        <w:t>, and pregnant women</w:t>
      </w:r>
      <w:r w:rsidR="00C02B4D">
        <w:t>, who should be offered appropriate opportunities to participate in research</w:t>
      </w:r>
      <w:r w:rsidR="00BB167F">
        <w:t>.</w:t>
      </w:r>
      <w:r w:rsidR="00C02B4D">
        <w:t xml:space="preserve"> </w:t>
      </w:r>
      <w:r w:rsidR="00593CBA">
        <w:t xml:space="preserve">Without well-conducted research, there is a risk that those groups will be harmed by procedures and medicines that are ill-adapted for their group or that lack an adequate evidence base. </w:t>
      </w:r>
      <w:r w:rsidR="009060D8" w:rsidRPr="009060D8">
        <w:t>This raises questions of fair access to novel interventions: both for those affected at the time</w:t>
      </w:r>
      <w:r w:rsidR="009060D8">
        <w:t xml:space="preserve"> </w:t>
      </w:r>
      <w:r w:rsidR="009060D8" w:rsidRPr="009060D8">
        <w:t>and for equivalent groups in the fu</w:t>
      </w:r>
      <w:r w:rsidR="009060D8">
        <w:t>ture</w:t>
      </w:r>
      <w:r w:rsidR="009060D8" w:rsidRPr="009060D8">
        <w:t>.</w:t>
      </w:r>
      <w:r w:rsidR="006C576A">
        <w:t xml:space="preserve"> </w:t>
      </w:r>
      <w:r w:rsidR="00121E61" w:rsidRPr="00593CBA">
        <w:t xml:space="preserve">As part of our inquiry into </w:t>
      </w:r>
      <w:hyperlink r:id="rId22" w:history="1">
        <w:r w:rsidR="00121E61" w:rsidRPr="002B13FA">
          <w:rPr>
            <w:rStyle w:val="Hyperlink"/>
          </w:rPr>
          <w:t>research in global health emergencies</w:t>
        </w:r>
      </w:hyperlink>
      <w:r w:rsidR="00121E61" w:rsidRPr="00593CBA">
        <w:t xml:space="preserve">, </w:t>
      </w:r>
      <w:r w:rsidR="006008E6" w:rsidRPr="00593CBA">
        <w:t xml:space="preserve">for example, </w:t>
      </w:r>
      <w:r w:rsidR="00121E61" w:rsidRPr="00593CBA">
        <w:t xml:space="preserve">we recommend that </w:t>
      </w:r>
      <w:r w:rsidR="00752A85" w:rsidRPr="00593CBA">
        <w:t xml:space="preserve">any exclusion criteria from research studies should be </w:t>
      </w:r>
      <w:r w:rsidR="00910485" w:rsidRPr="00593CBA">
        <w:t xml:space="preserve">clearly justified to avoid the automatic exclusion </w:t>
      </w:r>
      <w:r w:rsidR="00FF33AA">
        <w:t xml:space="preserve">of those assumed to comprise </w:t>
      </w:r>
      <w:r w:rsidR="00910485" w:rsidRPr="00593CBA">
        <w:t>'vulnerable groups</w:t>
      </w:r>
      <w:r w:rsidR="006008E6" w:rsidRPr="00593CBA">
        <w:t>.</w:t>
      </w:r>
      <w:r w:rsidR="00910485" w:rsidRPr="00593CBA">
        <w:t>'</w:t>
      </w:r>
    </w:p>
    <w:p w14:paraId="0E01CA34" w14:textId="08E66114" w:rsidR="00BB7C68" w:rsidRPr="00D731D9" w:rsidRDefault="00FF33AA" w:rsidP="00C4360E">
      <w:pPr>
        <w:pStyle w:val="ListParagraph"/>
      </w:pPr>
      <w:r>
        <w:t xml:space="preserve">It is also important to encourage recognition of the value of </w:t>
      </w:r>
      <w:r w:rsidR="00E213FB">
        <w:t xml:space="preserve">research </w:t>
      </w:r>
      <w:r w:rsidR="00BA11A3" w:rsidRPr="00D731D9">
        <w:t xml:space="preserve">among </w:t>
      </w:r>
      <w:r w:rsidR="00F432F6">
        <w:t>medical</w:t>
      </w:r>
      <w:r w:rsidR="00BA11A3" w:rsidRPr="00D731D9">
        <w:t xml:space="preserve"> professionals. </w:t>
      </w:r>
      <w:r w:rsidR="000A21E3">
        <w:t>For example, in</w:t>
      </w:r>
      <w:r w:rsidR="005975BF" w:rsidRPr="00D731D9">
        <w:t xml:space="preserve"> </w:t>
      </w:r>
      <w:r w:rsidR="002E1C5B">
        <w:t>our report on</w:t>
      </w:r>
      <w:r w:rsidR="005975BF" w:rsidRPr="00D731D9">
        <w:t xml:space="preserve"> the involvement of children in clinical research, we recommended that </w:t>
      </w:r>
      <w:r w:rsidR="002C5717" w:rsidRPr="00D731D9">
        <w:t xml:space="preserve">professional bodies concerned with young people's </w:t>
      </w:r>
      <w:r w:rsidR="00EA45AC" w:rsidRPr="00D731D9">
        <w:t xml:space="preserve">health </w:t>
      </w:r>
      <w:r w:rsidR="00186833" w:rsidRPr="00D731D9">
        <w:t xml:space="preserve">should </w:t>
      </w:r>
      <w:r w:rsidR="0098553C" w:rsidRPr="00D731D9">
        <w:t xml:space="preserve">reinforce the professional responsibilities of their members </w:t>
      </w:r>
      <w:r w:rsidR="00796CBB" w:rsidRPr="00D731D9">
        <w:t xml:space="preserve">to contribute to the ethical review of research </w:t>
      </w:r>
      <w:r w:rsidR="00345DF1" w:rsidRPr="00D731D9">
        <w:t>over their professional lifetime</w:t>
      </w:r>
      <w:r>
        <w:t xml:space="preserve">s, and </w:t>
      </w:r>
      <w:r w:rsidR="00345DF1" w:rsidRPr="00D731D9">
        <w:t>involvement in research ethics committees could be encouraged</w:t>
      </w:r>
      <w:r w:rsidR="001F40CA" w:rsidRPr="00D731D9">
        <w:t xml:space="preserve"> as part of continuing professional development schemes.</w:t>
      </w:r>
    </w:p>
    <w:p w14:paraId="1372BBEF" w14:textId="77777777" w:rsidR="0048608E" w:rsidRPr="0048608E" w:rsidRDefault="0048608E" w:rsidP="00FF33AA"/>
    <w:p w14:paraId="216371EA" w14:textId="77777777" w:rsidR="00B345F8" w:rsidRPr="006779EB" w:rsidRDefault="00B345F8" w:rsidP="00591820"/>
    <w:p w14:paraId="4EA2C50E" w14:textId="341BE193" w:rsidR="00CA01EF" w:rsidRPr="001F350C" w:rsidRDefault="00CA01EF" w:rsidP="00591820"/>
    <w:sectPr w:rsidR="00CA01EF" w:rsidRPr="001F35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181B" w14:textId="77777777" w:rsidR="00C328D9" w:rsidRDefault="00C328D9" w:rsidP="00591820">
      <w:r>
        <w:separator/>
      </w:r>
    </w:p>
  </w:endnote>
  <w:endnote w:type="continuationSeparator" w:id="0">
    <w:p w14:paraId="20C01A47" w14:textId="77777777" w:rsidR="00C328D9" w:rsidRDefault="00C328D9" w:rsidP="00591820">
      <w:r>
        <w:continuationSeparator/>
      </w:r>
    </w:p>
  </w:endnote>
  <w:endnote w:type="continuationNotice" w:id="1">
    <w:p w14:paraId="596B2EC6" w14:textId="77777777" w:rsidR="00C328D9" w:rsidRDefault="00C328D9" w:rsidP="00591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A3A5" w14:textId="77777777" w:rsidR="00C328D9" w:rsidRDefault="00C328D9" w:rsidP="00591820">
      <w:r>
        <w:separator/>
      </w:r>
    </w:p>
  </w:footnote>
  <w:footnote w:type="continuationSeparator" w:id="0">
    <w:p w14:paraId="55C0261F" w14:textId="77777777" w:rsidR="00C328D9" w:rsidRDefault="00C328D9" w:rsidP="00591820">
      <w:r>
        <w:continuationSeparator/>
      </w:r>
    </w:p>
  </w:footnote>
  <w:footnote w:type="continuationNotice" w:id="1">
    <w:p w14:paraId="123A923F" w14:textId="77777777" w:rsidR="00C328D9" w:rsidRDefault="00C328D9" w:rsidP="00591820"/>
  </w:footnote>
  <w:footnote w:id="2">
    <w:p w14:paraId="66CA8046" w14:textId="45606102" w:rsidR="00606A38" w:rsidRDefault="00606A38" w:rsidP="00591820">
      <w:pPr>
        <w:pStyle w:val="FootnoteText"/>
      </w:pPr>
      <w:r>
        <w:rPr>
          <w:rStyle w:val="FootnoteReference"/>
        </w:rPr>
        <w:footnoteRef/>
      </w:r>
      <w:r>
        <w:t xml:space="preserve"> </w:t>
      </w:r>
      <w:r w:rsidR="00C4360E">
        <w:t>S</w:t>
      </w:r>
      <w:r>
        <w:t>ee</w:t>
      </w:r>
      <w:r w:rsidR="00C4360E">
        <w:t>, for example,</w:t>
      </w:r>
      <w:r>
        <w:t xml:space="preserve"> </w:t>
      </w:r>
      <w:r w:rsidR="00C4360E">
        <w:t xml:space="preserve">the </w:t>
      </w:r>
      <w:r w:rsidR="00C4360E" w:rsidRPr="00C4360E">
        <w:t xml:space="preserve">Department for Health and Social Care's </w:t>
      </w:r>
      <w:r w:rsidR="00C4360E" w:rsidRPr="00C4360E">
        <w:t xml:space="preserve">new </w:t>
      </w:r>
      <w:hyperlink r:id="rId1" w:history="1">
        <w:r w:rsidRPr="00C4360E">
          <w:rPr>
            <w:rStyle w:val="Hyperlink"/>
          </w:rPr>
          <w:t>digital health and care</w:t>
        </w:r>
        <w:r w:rsidRPr="00C4360E">
          <w:rPr>
            <w:rStyle w:val="Hyperlink"/>
          </w:rPr>
          <w:t xml:space="preserve"> </w:t>
        </w:r>
        <w:r w:rsidRPr="00C4360E">
          <w:rPr>
            <w:rStyle w:val="Hyperlink"/>
          </w:rPr>
          <w:t>plan</w:t>
        </w:r>
      </w:hyperlink>
      <w:r w:rsidRPr="00606A38">
        <w:t xml:space="preserve">, which </w:t>
      </w:r>
      <w:r w:rsidRPr="006779EB">
        <w:t>set</w:t>
      </w:r>
      <w:r w:rsidR="00745004">
        <w:t>s</w:t>
      </w:r>
      <w:r w:rsidRPr="006779EB">
        <w:t xml:space="preserve"> out </w:t>
      </w:r>
      <w:r w:rsidR="00745004">
        <w:t xml:space="preserve">the </w:t>
      </w:r>
      <w:r w:rsidRPr="006779EB">
        <w:t>intention to expand access to digital forms of mental health support and data-driven technology</w:t>
      </w:r>
      <w:r w:rsidR="003F63DA">
        <w:t xml:space="preserve"> (with a focus on cancer, mental health and maternal care)</w:t>
      </w:r>
      <w:r w:rsidRPr="006779E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357DB"/>
    <w:multiLevelType w:val="hybridMultilevel"/>
    <w:tmpl w:val="895C2410"/>
    <w:lvl w:ilvl="0" w:tplc="D65ACB0A">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4C5DE7"/>
    <w:multiLevelType w:val="hybridMultilevel"/>
    <w:tmpl w:val="5346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519FE"/>
    <w:multiLevelType w:val="hybridMultilevel"/>
    <w:tmpl w:val="CE92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758577">
    <w:abstractNumId w:val="2"/>
  </w:num>
  <w:num w:numId="2" w16cid:durableId="1446073008">
    <w:abstractNumId w:val="1"/>
  </w:num>
  <w:num w:numId="3" w16cid:durableId="778069006">
    <w:abstractNumId w:val="0"/>
  </w:num>
  <w:num w:numId="4" w16cid:durableId="46061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42"/>
    <w:rsid w:val="00001B10"/>
    <w:rsid w:val="00004914"/>
    <w:rsid w:val="00014C61"/>
    <w:rsid w:val="00026829"/>
    <w:rsid w:val="00026CFB"/>
    <w:rsid w:val="00027071"/>
    <w:rsid w:val="00031285"/>
    <w:rsid w:val="00037D89"/>
    <w:rsid w:val="00046695"/>
    <w:rsid w:val="00050C94"/>
    <w:rsid w:val="00054A9F"/>
    <w:rsid w:val="00054B2B"/>
    <w:rsid w:val="000551A7"/>
    <w:rsid w:val="0006278B"/>
    <w:rsid w:val="00075A7F"/>
    <w:rsid w:val="00076373"/>
    <w:rsid w:val="0007787B"/>
    <w:rsid w:val="00081B12"/>
    <w:rsid w:val="00085717"/>
    <w:rsid w:val="00086DD6"/>
    <w:rsid w:val="00095F03"/>
    <w:rsid w:val="000A21E3"/>
    <w:rsid w:val="000A3E43"/>
    <w:rsid w:val="000A7F33"/>
    <w:rsid w:val="000B1002"/>
    <w:rsid w:val="000C5329"/>
    <w:rsid w:val="000C573B"/>
    <w:rsid w:val="000D31AF"/>
    <w:rsid w:val="000D5E07"/>
    <w:rsid w:val="000D647D"/>
    <w:rsid w:val="000D6C6A"/>
    <w:rsid w:val="000E239E"/>
    <w:rsid w:val="000E4FE5"/>
    <w:rsid w:val="000F3BCE"/>
    <w:rsid w:val="00121E61"/>
    <w:rsid w:val="001233F7"/>
    <w:rsid w:val="00135464"/>
    <w:rsid w:val="001368B7"/>
    <w:rsid w:val="00136940"/>
    <w:rsid w:val="00137EF1"/>
    <w:rsid w:val="00142F94"/>
    <w:rsid w:val="00143112"/>
    <w:rsid w:val="00160133"/>
    <w:rsid w:val="00164974"/>
    <w:rsid w:val="00166C98"/>
    <w:rsid w:val="00170004"/>
    <w:rsid w:val="00174066"/>
    <w:rsid w:val="00174829"/>
    <w:rsid w:val="0017744B"/>
    <w:rsid w:val="00182518"/>
    <w:rsid w:val="00184FD6"/>
    <w:rsid w:val="0018649D"/>
    <w:rsid w:val="00186833"/>
    <w:rsid w:val="00195E34"/>
    <w:rsid w:val="001A135F"/>
    <w:rsid w:val="001A22FF"/>
    <w:rsid w:val="001A43C7"/>
    <w:rsid w:val="001A47B9"/>
    <w:rsid w:val="001A7AE6"/>
    <w:rsid w:val="001C2082"/>
    <w:rsid w:val="001E0F5A"/>
    <w:rsid w:val="001E2E0C"/>
    <w:rsid w:val="001E562A"/>
    <w:rsid w:val="001F26A6"/>
    <w:rsid w:val="001F304D"/>
    <w:rsid w:val="001F350C"/>
    <w:rsid w:val="001F40CA"/>
    <w:rsid w:val="001F5D1D"/>
    <w:rsid w:val="001F7B4E"/>
    <w:rsid w:val="001F7E32"/>
    <w:rsid w:val="002116B7"/>
    <w:rsid w:val="00213076"/>
    <w:rsid w:val="00214FEA"/>
    <w:rsid w:val="002158D8"/>
    <w:rsid w:val="0021732B"/>
    <w:rsid w:val="00217B5C"/>
    <w:rsid w:val="00224FDE"/>
    <w:rsid w:val="00246E6D"/>
    <w:rsid w:val="00251C81"/>
    <w:rsid w:val="00251CF5"/>
    <w:rsid w:val="00261375"/>
    <w:rsid w:val="002671BB"/>
    <w:rsid w:val="00267D4B"/>
    <w:rsid w:val="00276901"/>
    <w:rsid w:val="00276EA2"/>
    <w:rsid w:val="00284199"/>
    <w:rsid w:val="00292D16"/>
    <w:rsid w:val="00292F8B"/>
    <w:rsid w:val="00294BE4"/>
    <w:rsid w:val="002A06C5"/>
    <w:rsid w:val="002A35B1"/>
    <w:rsid w:val="002A61A8"/>
    <w:rsid w:val="002B13FA"/>
    <w:rsid w:val="002C30FF"/>
    <w:rsid w:val="002C3FE5"/>
    <w:rsid w:val="002C4EEC"/>
    <w:rsid w:val="002C5717"/>
    <w:rsid w:val="002D5D02"/>
    <w:rsid w:val="002E0667"/>
    <w:rsid w:val="002E1C5B"/>
    <w:rsid w:val="002E3AAC"/>
    <w:rsid w:val="002E7CEB"/>
    <w:rsid w:val="002F02A9"/>
    <w:rsid w:val="002F3AC1"/>
    <w:rsid w:val="002F472A"/>
    <w:rsid w:val="002F6D79"/>
    <w:rsid w:val="0030113A"/>
    <w:rsid w:val="003017A1"/>
    <w:rsid w:val="0030232C"/>
    <w:rsid w:val="00325821"/>
    <w:rsid w:val="00325F66"/>
    <w:rsid w:val="00326D6B"/>
    <w:rsid w:val="00333B1D"/>
    <w:rsid w:val="0033560E"/>
    <w:rsid w:val="003406F7"/>
    <w:rsid w:val="003456BE"/>
    <w:rsid w:val="00345DF1"/>
    <w:rsid w:val="00353D33"/>
    <w:rsid w:val="0035734C"/>
    <w:rsid w:val="00365407"/>
    <w:rsid w:val="00384DDE"/>
    <w:rsid w:val="00397787"/>
    <w:rsid w:val="003A3BFC"/>
    <w:rsid w:val="003A6B67"/>
    <w:rsid w:val="003B6D56"/>
    <w:rsid w:val="003B6EE6"/>
    <w:rsid w:val="003C3C93"/>
    <w:rsid w:val="003C5B27"/>
    <w:rsid w:val="003C7B7D"/>
    <w:rsid w:val="003D0E18"/>
    <w:rsid w:val="003F3DD7"/>
    <w:rsid w:val="003F57B0"/>
    <w:rsid w:val="003F63DA"/>
    <w:rsid w:val="004036B5"/>
    <w:rsid w:val="00405202"/>
    <w:rsid w:val="004126B5"/>
    <w:rsid w:val="00415045"/>
    <w:rsid w:val="00422072"/>
    <w:rsid w:val="0042611B"/>
    <w:rsid w:val="00436045"/>
    <w:rsid w:val="0043795A"/>
    <w:rsid w:val="00450DAF"/>
    <w:rsid w:val="004526D2"/>
    <w:rsid w:val="00457DAE"/>
    <w:rsid w:val="00462769"/>
    <w:rsid w:val="00466469"/>
    <w:rsid w:val="0047171A"/>
    <w:rsid w:val="004748AC"/>
    <w:rsid w:val="00482AFE"/>
    <w:rsid w:val="00483AB6"/>
    <w:rsid w:val="0048608E"/>
    <w:rsid w:val="00487499"/>
    <w:rsid w:val="00492762"/>
    <w:rsid w:val="004B5A0A"/>
    <w:rsid w:val="004C0C66"/>
    <w:rsid w:val="004C11AB"/>
    <w:rsid w:val="004C6213"/>
    <w:rsid w:val="004D374C"/>
    <w:rsid w:val="004E56FB"/>
    <w:rsid w:val="004E77AC"/>
    <w:rsid w:val="004F1B63"/>
    <w:rsid w:val="00500731"/>
    <w:rsid w:val="0051599F"/>
    <w:rsid w:val="005235E1"/>
    <w:rsid w:val="00526C9C"/>
    <w:rsid w:val="005325FE"/>
    <w:rsid w:val="0053741A"/>
    <w:rsid w:val="005475FE"/>
    <w:rsid w:val="005522A1"/>
    <w:rsid w:val="005567E5"/>
    <w:rsid w:val="00562028"/>
    <w:rsid w:val="00562CEA"/>
    <w:rsid w:val="00571087"/>
    <w:rsid w:val="005742E7"/>
    <w:rsid w:val="0059116A"/>
    <w:rsid w:val="00591820"/>
    <w:rsid w:val="00593CBA"/>
    <w:rsid w:val="005975BF"/>
    <w:rsid w:val="005A2516"/>
    <w:rsid w:val="005A4B5B"/>
    <w:rsid w:val="005A6FBF"/>
    <w:rsid w:val="005B621C"/>
    <w:rsid w:val="005C117A"/>
    <w:rsid w:val="005C2B24"/>
    <w:rsid w:val="005C4884"/>
    <w:rsid w:val="005C5E60"/>
    <w:rsid w:val="005D3BBF"/>
    <w:rsid w:val="005D460A"/>
    <w:rsid w:val="005D482A"/>
    <w:rsid w:val="005E0FC6"/>
    <w:rsid w:val="005E460F"/>
    <w:rsid w:val="005E567F"/>
    <w:rsid w:val="005E7394"/>
    <w:rsid w:val="005F2C02"/>
    <w:rsid w:val="005F5153"/>
    <w:rsid w:val="005F75CC"/>
    <w:rsid w:val="006008E6"/>
    <w:rsid w:val="00605205"/>
    <w:rsid w:val="00606A38"/>
    <w:rsid w:val="00606C24"/>
    <w:rsid w:val="0061457C"/>
    <w:rsid w:val="00615580"/>
    <w:rsid w:val="00615CF7"/>
    <w:rsid w:val="00640872"/>
    <w:rsid w:val="00640C36"/>
    <w:rsid w:val="00650F80"/>
    <w:rsid w:val="006551E8"/>
    <w:rsid w:val="00672108"/>
    <w:rsid w:val="0067488B"/>
    <w:rsid w:val="00676648"/>
    <w:rsid w:val="0067747F"/>
    <w:rsid w:val="006779EB"/>
    <w:rsid w:val="006833D3"/>
    <w:rsid w:val="00686081"/>
    <w:rsid w:val="006902E3"/>
    <w:rsid w:val="006926FB"/>
    <w:rsid w:val="006A4006"/>
    <w:rsid w:val="006A6295"/>
    <w:rsid w:val="006B0518"/>
    <w:rsid w:val="006B0FA9"/>
    <w:rsid w:val="006B551A"/>
    <w:rsid w:val="006B56EC"/>
    <w:rsid w:val="006C576A"/>
    <w:rsid w:val="006D259A"/>
    <w:rsid w:val="006E46B9"/>
    <w:rsid w:val="006E7FE5"/>
    <w:rsid w:val="006F5F62"/>
    <w:rsid w:val="00702478"/>
    <w:rsid w:val="00703F63"/>
    <w:rsid w:val="00711033"/>
    <w:rsid w:val="007158E5"/>
    <w:rsid w:val="00715FA7"/>
    <w:rsid w:val="00724ABE"/>
    <w:rsid w:val="00732D90"/>
    <w:rsid w:val="00740BBE"/>
    <w:rsid w:val="00745004"/>
    <w:rsid w:val="00745AFB"/>
    <w:rsid w:val="00751F09"/>
    <w:rsid w:val="00752A85"/>
    <w:rsid w:val="00753DD7"/>
    <w:rsid w:val="00756FBA"/>
    <w:rsid w:val="00760C76"/>
    <w:rsid w:val="00764062"/>
    <w:rsid w:val="007714F0"/>
    <w:rsid w:val="007746A8"/>
    <w:rsid w:val="007755BB"/>
    <w:rsid w:val="00784AD4"/>
    <w:rsid w:val="00784B20"/>
    <w:rsid w:val="007852E9"/>
    <w:rsid w:val="007879A9"/>
    <w:rsid w:val="007920E1"/>
    <w:rsid w:val="00796CBB"/>
    <w:rsid w:val="007B7DF9"/>
    <w:rsid w:val="007C7A12"/>
    <w:rsid w:val="007D5E6F"/>
    <w:rsid w:val="007D6E02"/>
    <w:rsid w:val="007D7429"/>
    <w:rsid w:val="007E07A6"/>
    <w:rsid w:val="007E6301"/>
    <w:rsid w:val="007F7D4F"/>
    <w:rsid w:val="00800366"/>
    <w:rsid w:val="0081418B"/>
    <w:rsid w:val="008156E4"/>
    <w:rsid w:val="00815A45"/>
    <w:rsid w:val="0082538A"/>
    <w:rsid w:val="008253DA"/>
    <w:rsid w:val="00831179"/>
    <w:rsid w:val="00832915"/>
    <w:rsid w:val="00835389"/>
    <w:rsid w:val="008450EC"/>
    <w:rsid w:val="0085548B"/>
    <w:rsid w:val="00856A69"/>
    <w:rsid w:val="008667B8"/>
    <w:rsid w:val="00870306"/>
    <w:rsid w:val="008733B3"/>
    <w:rsid w:val="00887F38"/>
    <w:rsid w:val="0089349D"/>
    <w:rsid w:val="0089418E"/>
    <w:rsid w:val="00894B03"/>
    <w:rsid w:val="0089634A"/>
    <w:rsid w:val="008A0D5D"/>
    <w:rsid w:val="008B0332"/>
    <w:rsid w:val="008B0F19"/>
    <w:rsid w:val="008B2785"/>
    <w:rsid w:val="008B38C4"/>
    <w:rsid w:val="008B54B4"/>
    <w:rsid w:val="008C34BC"/>
    <w:rsid w:val="008C7C74"/>
    <w:rsid w:val="008D27BF"/>
    <w:rsid w:val="008D6813"/>
    <w:rsid w:val="008E680C"/>
    <w:rsid w:val="008F0AC1"/>
    <w:rsid w:val="008F4923"/>
    <w:rsid w:val="008F514E"/>
    <w:rsid w:val="009050B9"/>
    <w:rsid w:val="009060D8"/>
    <w:rsid w:val="00906ED4"/>
    <w:rsid w:val="00910485"/>
    <w:rsid w:val="009119F2"/>
    <w:rsid w:val="00911D87"/>
    <w:rsid w:val="00916CFB"/>
    <w:rsid w:val="009171CE"/>
    <w:rsid w:val="00920F42"/>
    <w:rsid w:val="009223AA"/>
    <w:rsid w:val="009246AE"/>
    <w:rsid w:val="00932C71"/>
    <w:rsid w:val="00956D6D"/>
    <w:rsid w:val="00957669"/>
    <w:rsid w:val="00960437"/>
    <w:rsid w:val="00960E43"/>
    <w:rsid w:val="00961815"/>
    <w:rsid w:val="00961BE5"/>
    <w:rsid w:val="009637D1"/>
    <w:rsid w:val="0096675E"/>
    <w:rsid w:val="00976248"/>
    <w:rsid w:val="00980E16"/>
    <w:rsid w:val="00980ECE"/>
    <w:rsid w:val="0098553C"/>
    <w:rsid w:val="009927CD"/>
    <w:rsid w:val="009A4282"/>
    <w:rsid w:val="009B092F"/>
    <w:rsid w:val="009B6E59"/>
    <w:rsid w:val="009D6574"/>
    <w:rsid w:val="009E22A2"/>
    <w:rsid w:val="009E2601"/>
    <w:rsid w:val="009E4B03"/>
    <w:rsid w:val="009F1F00"/>
    <w:rsid w:val="00A003A5"/>
    <w:rsid w:val="00A065D3"/>
    <w:rsid w:val="00A0682A"/>
    <w:rsid w:val="00A06F94"/>
    <w:rsid w:val="00A21697"/>
    <w:rsid w:val="00A243D9"/>
    <w:rsid w:val="00A24D2A"/>
    <w:rsid w:val="00A273EE"/>
    <w:rsid w:val="00A31694"/>
    <w:rsid w:val="00A3229D"/>
    <w:rsid w:val="00A33E0D"/>
    <w:rsid w:val="00A41308"/>
    <w:rsid w:val="00A566F7"/>
    <w:rsid w:val="00A5759C"/>
    <w:rsid w:val="00A77240"/>
    <w:rsid w:val="00A815BB"/>
    <w:rsid w:val="00A81F7C"/>
    <w:rsid w:val="00A94D59"/>
    <w:rsid w:val="00AA5EA1"/>
    <w:rsid w:val="00AE1690"/>
    <w:rsid w:val="00AF7378"/>
    <w:rsid w:val="00AF7933"/>
    <w:rsid w:val="00B005E0"/>
    <w:rsid w:val="00B02D35"/>
    <w:rsid w:val="00B033DD"/>
    <w:rsid w:val="00B04AB6"/>
    <w:rsid w:val="00B06476"/>
    <w:rsid w:val="00B11032"/>
    <w:rsid w:val="00B11712"/>
    <w:rsid w:val="00B12DD4"/>
    <w:rsid w:val="00B1431A"/>
    <w:rsid w:val="00B345F8"/>
    <w:rsid w:val="00B445A7"/>
    <w:rsid w:val="00B46F3F"/>
    <w:rsid w:val="00B504C7"/>
    <w:rsid w:val="00B5167D"/>
    <w:rsid w:val="00B52B81"/>
    <w:rsid w:val="00B713C0"/>
    <w:rsid w:val="00B73753"/>
    <w:rsid w:val="00B80431"/>
    <w:rsid w:val="00B83F48"/>
    <w:rsid w:val="00B90423"/>
    <w:rsid w:val="00B93007"/>
    <w:rsid w:val="00B939FB"/>
    <w:rsid w:val="00B96D9F"/>
    <w:rsid w:val="00BA11A3"/>
    <w:rsid w:val="00BA4153"/>
    <w:rsid w:val="00BB07E8"/>
    <w:rsid w:val="00BB167F"/>
    <w:rsid w:val="00BB5BE9"/>
    <w:rsid w:val="00BB7C68"/>
    <w:rsid w:val="00BC7005"/>
    <w:rsid w:val="00BC7A62"/>
    <w:rsid w:val="00BC7DEE"/>
    <w:rsid w:val="00BE50EA"/>
    <w:rsid w:val="00BE75BC"/>
    <w:rsid w:val="00BF032F"/>
    <w:rsid w:val="00BF07B3"/>
    <w:rsid w:val="00BF38F2"/>
    <w:rsid w:val="00BF3DA9"/>
    <w:rsid w:val="00BF4B16"/>
    <w:rsid w:val="00C02B4D"/>
    <w:rsid w:val="00C114C0"/>
    <w:rsid w:val="00C120D9"/>
    <w:rsid w:val="00C27D2E"/>
    <w:rsid w:val="00C328D9"/>
    <w:rsid w:val="00C355A1"/>
    <w:rsid w:val="00C355D1"/>
    <w:rsid w:val="00C36E15"/>
    <w:rsid w:val="00C410D7"/>
    <w:rsid w:val="00C4360E"/>
    <w:rsid w:val="00C74386"/>
    <w:rsid w:val="00C779D1"/>
    <w:rsid w:val="00C803E2"/>
    <w:rsid w:val="00C926E6"/>
    <w:rsid w:val="00C97EC3"/>
    <w:rsid w:val="00CA01EF"/>
    <w:rsid w:val="00CA1037"/>
    <w:rsid w:val="00CA3C7F"/>
    <w:rsid w:val="00CA6007"/>
    <w:rsid w:val="00CA6D04"/>
    <w:rsid w:val="00CA70A3"/>
    <w:rsid w:val="00CB471D"/>
    <w:rsid w:val="00CD280C"/>
    <w:rsid w:val="00CD4252"/>
    <w:rsid w:val="00CD540E"/>
    <w:rsid w:val="00CF11AC"/>
    <w:rsid w:val="00CF74FC"/>
    <w:rsid w:val="00D13B7A"/>
    <w:rsid w:val="00D16EAE"/>
    <w:rsid w:val="00D20AF0"/>
    <w:rsid w:val="00D2661D"/>
    <w:rsid w:val="00D3027C"/>
    <w:rsid w:val="00D339E5"/>
    <w:rsid w:val="00D36719"/>
    <w:rsid w:val="00D41177"/>
    <w:rsid w:val="00D42F23"/>
    <w:rsid w:val="00D46D5C"/>
    <w:rsid w:val="00D5506F"/>
    <w:rsid w:val="00D575CC"/>
    <w:rsid w:val="00D67B9B"/>
    <w:rsid w:val="00D705E7"/>
    <w:rsid w:val="00D71DA5"/>
    <w:rsid w:val="00D731D9"/>
    <w:rsid w:val="00D74F99"/>
    <w:rsid w:val="00D81C43"/>
    <w:rsid w:val="00D83AD4"/>
    <w:rsid w:val="00D87845"/>
    <w:rsid w:val="00D95912"/>
    <w:rsid w:val="00D97CAB"/>
    <w:rsid w:val="00DA38DC"/>
    <w:rsid w:val="00DA4E4F"/>
    <w:rsid w:val="00DA50E4"/>
    <w:rsid w:val="00DB2DA5"/>
    <w:rsid w:val="00DB7BC0"/>
    <w:rsid w:val="00DC1439"/>
    <w:rsid w:val="00DC480D"/>
    <w:rsid w:val="00DD1909"/>
    <w:rsid w:val="00DD3101"/>
    <w:rsid w:val="00DD4D6E"/>
    <w:rsid w:val="00DD4FB0"/>
    <w:rsid w:val="00DE37C2"/>
    <w:rsid w:val="00E02C15"/>
    <w:rsid w:val="00E17134"/>
    <w:rsid w:val="00E175BE"/>
    <w:rsid w:val="00E20EE4"/>
    <w:rsid w:val="00E213FB"/>
    <w:rsid w:val="00E215D9"/>
    <w:rsid w:val="00E25B21"/>
    <w:rsid w:val="00E27D6C"/>
    <w:rsid w:val="00E27EE9"/>
    <w:rsid w:val="00E5170A"/>
    <w:rsid w:val="00E52D26"/>
    <w:rsid w:val="00E61745"/>
    <w:rsid w:val="00E6185F"/>
    <w:rsid w:val="00E64A1E"/>
    <w:rsid w:val="00E662E9"/>
    <w:rsid w:val="00E75E72"/>
    <w:rsid w:val="00E768FA"/>
    <w:rsid w:val="00E81548"/>
    <w:rsid w:val="00E85BFF"/>
    <w:rsid w:val="00E86459"/>
    <w:rsid w:val="00E9372C"/>
    <w:rsid w:val="00E94B54"/>
    <w:rsid w:val="00EA45AC"/>
    <w:rsid w:val="00EA5910"/>
    <w:rsid w:val="00EC5E74"/>
    <w:rsid w:val="00ED3B4B"/>
    <w:rsid w:val="00ED7E16"/>
    <w:rsid w:val="00EE257B"/>
    <w:rsid w:val="00EE42B3"/>
    <w:rsid w:val="00EF6E62"/>
    <w:rsid w:val="00F2005E"/>
    <w:rsid w:val="00F21E11"/>
    <w:rsid w:val="00F24BF4"/>
    <w:rsid w:val="00F310AC"/>
    <w:rsid w:val="00F42E50"/>
    <w:rsid w:val="00F432F6"/>
    <w:rsid w:val="00F443FA"/>
    <w:rsid w:val="00F52023"/>
    <w:rsid w:val="00F546B0"/>
    <w:rsid w:val="00F5780F"/>
    <w:rsid w:val="00F60386"/>
    <w:rsid w:val="00F61D6E"/>
    <w:rsid w:val="00F61EC7"/>
    <w:rsid w:val="00F71910"/>
    <w:rsid w:val="00F81B22"/>
    <w:rsid w:val="00F93A73"/>
    <w:rsid w:val="00FA1515"/>
    <w:rsid w:val="00FA317D"/>
    <w:rsid w:val="00FB1ED1"/>
    <w:rsid w:val="00FB3670"/>
    <w:rsid w:val="00FD05DC"/>
    <w:rsid w:val="00FD720E"/>
    <w:rsid w:val="00FE22CB"/>
    <w:rsid w:val="00FE7ED4"/>
    <w:rsid w:val="00FF33AA"/>
    <w:rsid w:val="00FF6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2AD7"/>
  <w15:chartTrackingRefBased/>
  <w15:docId w15:val="{374845B0-8B10-41DE-A8D0-068DF089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820"/>
    <w:rPr>
      <w:rFonts w:ascii="Arial" w:hAnsi="Arial" w:cs="Arial"/>
    </w:rPr>
  </w:style>
  <w:style w:type="paragraph" w:styleId="Heading1">
    <w:name w:val="heading 1"/>
    <w:basedOn w:val="Normal"/>
    <w:next w:val="Normal"/>
    <w:link w:val="Heading1Char"/>
    <w:uiPriority w:val="9"/>
    <w:qFormat/>
    <w:rsid w:val="00436045"/>
    <w:pPr>
      <w:outlineLvl w:val="0"/>
    </w:pPr>
    <w:rPr>
      <w:b/>
      <w:bCs/>
      <w:sz w:val="24"/>
      <w:szCs w:val="24"/>
    </w:rPr>
  </w:style>
  <w:style w:type="paragraph" w:styleId="Heading2">
    <w:name w:val="heading 2"/>
    <w:basedOn w:val="ListParagraph"/>
    <w:next w:val="Normal"/>
    <w:link w:val="Heading2Char"/>
    <w:uiPriority w:val="9"/>
    <w:unhideWhenUsed/>
    <w:qFormat/>
    <w:rsid w:val="00CA70A3"/>
    <w:pPr>
      <w:numPr>
        <w:numId w:val="0"/>
      </w:numPr>
      <w:ind w:left="426"/>
      <w:outlineLvl w:val="1"/>
    </w:pPr>
    <w:rPr>
      <w:i/>
      <w:iCs/>
    </w:rPr>
  </w:style>
  <w:style w:type="paragraph" w:styleId="Heading3">
    <w:name w:val="heading 3"/>
    <w:basedOn w:val="Normal"/>
    <w:next w:val="Normal"/>
    <w:link w:val="Heading3Char"/>
    <w:uiPriority w:val="9"/>
    <w:unhideWhenUsed/>
    <w:qFormat/>
    <w:rsid w:val="00CA70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60E"/>
    <w:pPr>
      <w:numPr>
        <w:numId w:val="3"/>
      </w:numPr>
      <w:spacing w:after="200" w:line="276" w:lineRule="auto"/>
      <w:ind w:left="426" w:hanging="426"/>
    </w:pPr>
    <w:rPr>
      <w:sz w:val="24"/>
      <w:szCs w:val="24"/>
    </w:rPr>
  </w:style>
  <w:style w:type="character" w:styleId="Hyperlink">
    <w:name w:val="Hyperlink"/>
    <w:basedOn w:val="DefaultParagraphFont"/>
    <w:uiPriority w:val="99"/>
    <w:unhideWhenUsed/>
    <w:rsid w:val="006E46B9"/>
    <w:rPr>
      <w:color w:val="0563C1" w:themeColor="hyperlink"/>
      <w:u w:val="single"/>
    </w:rPr>
  </w:style>
  <w:style w:type="character" w:styleId="UnresolvedMention">
    <w:name w:val="Unresolved Mention"/>
    <w:basedOn w:val="DefaultParagraphFont"/>
    <w:uiPriority w:val="99"/>
    <w:semiHidden/>
    <w:unhideWhenUsed/>
    <w:rsid w:val="006E46B9"/>
    <w:rPr>
      <w:color w:val="605E5C"/>
      <w:shd w:val="clear" w:color="auto" w:fill="E1DFDD"/>
    </w:rPr>
  </w:style>
  <w:style w:type="paragraph" w:styleId="FootnoteText">
    <w:name w:val="footnote text"/>
    <w:basedOn w:val="Normal"/>
    <w:link w:val="FootnoteTextChar"/>
    <w:uiPriority w:val="99"/>
    <w:unhideWhenUsed/>
    <w:rsid w:val="00606A38"/>
    <w:pPr>
      <w:spacing w:after="0" w:line="240" w:lineRule="auto"/>
    </w:pPr>
    <w:rPr>
      <w:sz w:val="20"/>
      <w:szCs w:val="20"/>
    </w:rPr>
  </w:style>
  <w:style w:type="character" w:customStyle="1" w:styleId="FootnoteTextChar">
    <w:name w:val="Footnote Text Char"/>
    <w:basedOn w:val="DefaultParagraphFont"/>
    <w:link w:val="FootnoteText"/>
    <w:uiPriority w:val="99"/>
    <w:rsid w:val="00606A38"/>
    <w:rPr>
      <w:sz w:val="20"/>
      <w:szCs w:val="20"/>
    </w:rPr>
  </w:style>
  <w:style w:type="character" w:styleId="FootnoteReference">
    <w:name w:val="footnote reference"/>
    <w:basedOn w:val="DefaultParagraphFont"/>
    <w:uiPriority w:val="99"/>
    <w:semiHidden/>
    <w:unhideWhenUsed/>
    <w:rsid w:val="00606A38"/>
    <w:rPr>
      <w:vertAlign w:val="superscript"/>
    </w:rPr>
  </w:style>
  <w:style w:type="character" w:styleId="CommentReference">
    <w:name w:val="annotation reference"/>
    <w:basedOn w:val="DefaultParagraphFont"/>
    <w:uiPriority w:val="99"/>
    <w:semiHidden/>
    <w:unhideWhenUsed/>
    <w:rsid w:val="0085548B"/>
    <w:rPr>
      <w:sz w:val="16"/>
      <w:szCs w:val="16"/>
    </w:rPr>
  </w:style>
  <w:style w:type="paragraph" w:styleId="CommentText">
    <w:name w:val="annotation text"/>
    <w:basedOn w:val="Normal"/>
    <w:link w:val="CommentTextChar"/>
    <w:uiPriority w:val="99"/>
    <w:unhideWhenUsed/>
    <w:rsid w:val="0085548B"/>
    <w:pPr>
      <w:spacing w:line="240" w:lineRule="auto"/>
    </w:pPr>
    <w:rPr>
      <w:sz w:val="20"/>
      <w:szCs w:val="20"/>
    </w:rPr>
  </w:style>
  <w:style w:type="character" w:customStyle="1" w:styleId="CommentTextChar">
    <w:name w:val="Comment Text Char"/>
    <w:basedOn w:val="DefaultParagraphFont"/>
    <w:link w:val="CommentText"/>
    <w:uiPriority w:val="99"/>
    <w:rsid w:val="0085548B"/>
    <w:rPr>
      <w:sz w:val="20"/>
      <w:szCs w:val="20"/>
    </w:rPr>
  </w:style>
  <w:style w:type="paragraph" w:styleId="CommentSubject">
    <w:name w:val="annotation subject"/>
    <w:basedOn w:val="CommentText"/>
    <w:next w:val="CommentText"/>
    <w:link w:val="CommentSubjectChar"/>
    <w:uiPriority w:val="99"/>
    <w:semiHidden/>
    <w:unhideWhenUsed/>
    <w:rsid w:val="0085548B"/>
    <w:rPr>
      <w:b/>
      <w:bCs/>
    </w:rPr>
  </w:style>
  <w:style w:type="character" w:customStyle="1" w:styleId="CommentSubjectChar">
    <w:name w:val="Comment Subject Char"/>
    <w:basedOn w:val="CommentTextChar"/>
    <w:link w:val="CommentSubject"/>
    <w:uiPriority w:val="99"/>
    <w:semiHidden/>
    <w:rsid w:val="0085548B"/>
    <w:rPr>
      <w:b/>
      <w:bCs/>
      <w:sz w:val="20"/>
      <w:szCs w:val="20"/>
    </w:rPr>
  </w:style>
  <w:style w:type="paragraph" w:styleId="Header">
    <w:name w:val="header"/>
    <w:basedOn w:val="Normal"/>
    <w:link w:val="HeaderChar"/>
    <w:uiPriority w:val="99"/>
    <w:semiHidden/>
    <w:unhideWhenUsed/>
    <w:rsid w:val="00B033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33DD"/>
  </w:style>
  <w:style w:type="paragraph" w:styleId="Footer">
    <w:name w:val="footer"/>
    <w:basedOn w:val="Normal"/>
    <w:link w:val="FooterChar"/>
    <w:uiPriority w:val="99"/>
    <w:semiHidden/>
    <w:unhideWhenUsed/>
    <w:rsid w:val="00B033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33DD"/>
  </w:style>
  <w:style w:type="character" w:customStyle="1" w:styleId="Heading1Char">
    <w:name w:val="Heading 1 Char"/>
    <w:basedOn w:val="DefaultParagraphFont"/>
    <w:link w:val="Heading1"/>
    <w:uiPriority w:val="9"/>
    <w:rsid w:val="00436045"/>
    <w:rPr>
      <w:rFonts w:ascii="Arial" w:hAnsi="Arial" w:cs="Arial"/>
      <w:b/>
      <w:bCs/>
      <w:sz w:val="24"/>
      <w:szCs w:val="24"/>
    </w:rPr>
  </w:style>
  <w:style w:type="paragraph" w:styleId="Subtitle">
    <w:name w:val="Subtitle"/>
    <w:basedOn w:val="Normal"/>
    <w:next w:val="Normal"/>
    <w:link w:val="SubtitleChar"/>
    <w:uiPriority w:val="11"/>
    <w:qFormat/>
    <w:rsid w:val="0081418B"/>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1418B"/>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C4360E"/>
    <w:rPr>
      <w:color w:val="954F72" w:themeColor="followedHyperlink"/>
      <w:u w:val="single"/>
    </w:rPr>
  </w:style>
  <w:style w:type="character" w:customStyle="1" w:styleId="Heading2Char">
    <w:name w:val="Heading 2 Char"/>
    <w:basedOn w:val="DefaultParagraphFont"/>
    <w:link w:val="Heading2"/>
    <w:uiPriority w:val="9"/>
    <w:rsid w:val="00CA70A3"/>
    <w:rPr>
      <w:rFonts w:ascii="Arial" w:hAnsi="Arial" w:cs="Arial"/>
      <w:i/>
      <w:iCs/>
      <w:sz w:val="24"/>
      <w:szCs w:val="24"/>
    </w:rPr>
  </w:style>
  <w:style w:type="character" w:customStyle="1" w:styleId="Heading3Char">
    <w:name w:val="Heading 3 Char"/>
    <w:basedOn w:val="DefaultParagraphFont"/>
    <w:link w:val="Heading3"/>
    <w:uiPriority w:val="9"/>
    <w:rsid w:val="00CA70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67879">
      <w:bodyDiv w:val="1"/>
      <w:marLeft w:val="0"/>
      <w:marRight w:val="0"/>
      <w:marTop w:val="0"/>
      <w:marBottom w:val="0"/>
      <w:divBdr>
        <w:top w:val="none" w:sz="0" w:space="0" w:color="auto"/>
        <w:left w:val="none" w:sz="0" w:space="0" w:color="auto"/>
        <w:bottom w:val="none" w:sz="0" w:space="0" w:color="auto"/>
        <w:right w:val="none" w:sz="0" w:space="0" w:color="auto"/>
      </w:divBdr>
    </w:div>
    <w:div w:id="21170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uffieldbioethics.org/" TargetMode="External"/><Relationship Id="rId18" Type="http://schemas.openxmlformats.org/officeDocument/2006/relationships/hyperlink" Target="https://www.nuffieldbioethics.org/assets/pdfs/Rethink-Report.pdf" TargetMode="External"/><Relationship Id="rId3" Type="http://schemas.openxmlformats.org/officeDocument/2006/relationships/customXml" Target="../customXml/item3.xml"/><Relationship Id="rId21" Type="http://schemas.openxmlformats.org/officeDocument/2006/relationships/hyperlink" Target="https://www.nuffieldbioethics.org/publications/children-and-clinical-research" TargetMode="External"/><Relationship Id="rId7" Type="http://schemas.openxmlformats.org/officeDocument/2006/relationships/settings" Target="settings.xml"/><Relationship Id="rId12" Type="http://schemas.openxmlformats.org/officeDocument/2006/relationships/hyperlink" Target="mailto:professionalstandards@gmc-uk.org" TargetMode="External"/><Relationship Id="rId17" Type="http://schemas.openxmlformats.org/officeDocument/2006/relationships/hyperlink" Target="https://www.nuffieldbioethics.org/publications/technology-in-mental-healthcare" TargetMode="External"/><Relationship Id="rId2" Type="http://schemas.openxmlformats.org/officeDocument/2006/relationships/customXml" Target="../customXml/item2.xml"/><Relationship Id="rId16" Type="http://schemas.openxmlformats.org/officeDocument/2006/relationships/hyperlink" Target="https://www.nuffieldbioethics.org/publications/ai-in-healthcare-and-research" TargetMode="External"/><Relationship Id="rId20" Type="http://schemas.openxmlformats.org/officeDocument/2006/relationships/hyperlink" Target="https://futurecarecapital.org.uk/research/mental-health-tech-landscape-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uffieldbioethics.org/publications/technology-in-mental-healthca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uffieldbioethics.org/assets/images/2022-07-13-Nuffield-Council-on-Bioethics-roundtable-meeting-on-technology-and-mental-healthcare-Evidence-summa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ffieldbioethics.org/publications/ten-questions-on-the-next-phase-of-the-uks-covid-19-response" TargetMode="External"/><Relationship Id="rId22" Type="http://schemas.openxmlformats.org/officeDocument/2006/relationships/hyperlink" Target="https://www.nuffieldbioethics.org/publications/research-in-global-health-emergenc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a-plan-for-digital-health-and-social-care/a-plan-for-digital-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ABA1E996D5346BE9757B08B5D08BB" ma:contentTypeVersion="16" ma:contentTypeDescription="Create a new document." ma:contentTypeScope="" ma:versionID="d2fe80fb25c364340ebd57313b37089b">
  <xsd:schema xmlns:xsd="http://www.w3.org/2001/XMLSchema" xmlns:xs="http://www.w3.org/2001/XMLSchema" xmlns:p="http://schemas.microsoft.com/office/2006/metadata/properties" xmlns:ns2="d0c8e7ee-30bc-43ea-b312-74bb506e821c" xmlns:ns3="fcdec8ea-8036-4524-bc21-cadb9f7106f9" targetNamespace="http://schemas.microsoft.com/office/2006/metadata/properties" ma:root="true" ma:fieldsID="2f23fb1d197d0ddae66868443116f3c3" ns2:_="" ns3:_="">
    <xsd:import namespace="d0c8e7ee-30bc-43ea-b312-74bb506e821c"/>
    <xsd:import namespace="fcdec8ea-8036-4524-bc21-cadb9f7106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8e7ee-30bc-43ea-b312-74bb506e8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685ab4-baa2-4c4f-bb7f-5702bb19f6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dec8ea-8036-4524-bc21-cadb9f710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db059f-a0ab-48e9-88c7-9b63164c85e6}" ma:internalName="TaxCatchAll" ma:showField="CatchAllData" ma:web="fcdec8ea-8036-4524-bc21-cadb9f710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dec8ea-8036-4524-bc21-cadb9f7106f9" xsi:nil="true"/>
    <lcf76f155ced4ddcb4097134ff3c332f xmlns="d0c8e7ee-30bc-43ea-b312-74bb506e821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507D-4ACC-46D9-A918-C287D0964895}"/>
</file>

<file path=customXml/itemProps2.xml><?xml version="1.0" encoding="utf-8"?>
<ds:datastoreItem xmlns:ds="http://schemas.openxmlformats.org/officeDocument/2006/customXml" ds:itemID="{E17703AF-E854-4B1F-8E99-BBDDA66BEA2C}">
  <ds:schemaRefs>
    <ds:schemaRef ds:uri="http://schemas.microsoft.com/sharepoint/v3/contenttype/forms"/>
  </ds:schemaRefs>
</ds:datastoreItem>
</file>

<file path=customXml/itemProps3.xml><?xml version="1.0" encoding="utf-8"?>
<ds:datastoreItem xmlns:ds="http://schemas.openxmlformats.org/officeDocument/2006/customXml" ds:itemID="{63AF36C1-F81D-4BCA-AC0D-9B1402784D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C25EF1-5C93-44F8-97F6-32DC3803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Links>
    <vt:vector size="42" baseType="variant">
      <vt:variant>
        <vt:i4>3604518</vt:i4>
      </vt:variant>
      <vt:variant>
        <vt:i4>15</vt:i4>
      </vt:variant>
      <vt:variant>
        <vt:i4>0</vt:i4>
      </vt:variant>
      <vt:variant>
        <vt:i4>5</vt:i4>
      </vt:variant>
      <vt:variant>
        <vt:lpwstr>https://futurecarecapital.org.uk/research/mental-health-tech-landscape-review/</vt:lpwstr>
      </vt:variant>
      <vt:variant>
        <vt:lpwstr/>
      </vt:variant>
      <vt:variant>
        <vt:i4>5505094</vt:i4>
      </vt:variant>
      <vt:variant>
        <vt:i4>12</vt:i4>
      </vt:variant>
      <vt:variant>
        <vt:i4>0</vt:i4>
      </vt:variant>
      <vt:variant>
        <vt:i4>5</vt:i4>
      </vt:variant>
      <vt:variant>
        <vt:lpwstr>https://www.nuffieldbioethics.org/assets/pdfs/Rethink-Report.pdf</vt:lpwstr>
      </vt:variant>
      <vt:variant>
        <vt:lpwstr/>
      </vt:variant>
      <vt:variant>
        <vt:i4>2555957</vt:i4>
      </vt:variant>
      <vt:variant>
        <vt:i4>9</vt:i4>
      </vt:variant>
      <vt:variant>
        <vt:i4>0</vt:i4>
      </vt:variant>
      <vt:variant>
        <vt:i4>5</vt:i4>
      </vt:variant>
      <vt:variant>
        <vt:lpwstr>https://www.nuffieldbioethics.org/publications/technology-in-mental-healthcare</vt:lpwstr>
      </vt:variant>
      <vt:variant>
        <vt:lpwstr/>
      </vt:variant>
      <vt:variant>
        <vt:i4>393306</vt:i4>
      </vt:variant>
      <vt:variant>
        <vt:i4>6</vt:i4>
      </vt:variant>
      <vt:variant>
        <vt:i4>0</vt:i4>
      </vt:variant>
      <vt:variant>
        <vt:i4>5</vt:i4>
      </vt:variant>
      <vt:variant>
        <vt:lpwstr>https://www.nuffieldbioethics.org/publications/ai-in-healthcare-and-research</vt:lpwstr>
      </vt:variant>
      <vt:variant>
        <vt:lpwstr/>
      </vt:variant>
      <vt:variant>
        <vt:i4>2555957</vt:i4>
      </vt:variant>
      <vt:variant>
        <vt:i4>3</vt:i4>
      </vt:variant>
      <vt:variant>
        <vt:i4>0</vt:i4>
      </vt:variant>
      <vt:variant>
        <vt:i4>5</vt:i4>
      </vt:variant>
      <vt:variant>
        <vt:lpwstr>https://www.nuffieldbioethics.org/publications/technology-in-mental-healthcare</vt:lpwstr>
      </vt:variant>
      <vt:variant>
        <vt:lpwstr/>
      </vt:variant>
      <vt:variant>
        <vt:i4>7733349</vt:i4>
      </vt:variant>
      <vt:variant>
        <vt:i4>0</vt:i4>
      </vt:variant>
      <vt:variant>
        <vt:i4>0</vt:i4>
      </vt:variant>
      <vt:variant>
        <vt:i4>5</vt:i4>
      </vt:variant>
      <vt:variant>
        <vt:lpwstr>https://www.nuffieldbioethics.org/publications/ten-questions-on-the-next-phase-of-the-uks-covid-19-response</vt:lpwstr>
      </vt:variant>
      <vt:variant>
        <vt:lpwstr/>
      </vt:variant>
      <vt:variant>
        <vt:i4>4128867</vt:i4>
      </vt:variant>
      <vt:variant>
        <vt:i4>0</vt:i4>
      </vt:variant>
      <vt:variant>
        <vt:i4>0</vt:i4>
      </vt:variant>
      <vt:variant>
        <vt:i4>5</vt:i4>
      </vt:variant>
      <vt:variant>
        <vt:lpwstr>https://www.gov.uk/government/publications/a-plan-for-digital-health-and-social-care/a-plan-for-digital-health-and-social-care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Corradi</dc:creator>
  <cp:keywords/>
  <dc:description/>
  <cp:lastModifiedBy>Peter Mills</cp:lastModifiedBy>
  <cp:revision>473</cp:revision>
  <dcterms:created xsi:type="dcterms:W3CDTF">2022-07-19T10:13:00Z</dcterms:created>
  <dcterms:modified xsi:type="dcterms:W3CDTF">2022-07-20T18:58:00Z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0x01010054DABA1E996D5346BE9757B08B5D08BB</vt:lpwstr>
  </property>
</Properties>
</file>